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4D39" w:rsidRPr="0080742D" w:rsidRDefault="003F15CB" w:rsidP="00484DCA">
      <w:pPr>
        <w:pStyle w:val="Normal1"/>
        <w:widowControl w:val="0"/>
        <w:pBdr>
          <w:bottom w:val="single" w:sz="4" w:space="1" w:color="F94711"/>
        </w:pBdr>
        <w:spacing w:line="360" w:lineRule="auto"/>
        <w:jc w:val="center"/>
        <w:rPr>
          <w:rFonts w:ascii="Garamond" w:hAnsi="Garamond" w:cs="Times New Roman"/>
          <w:b/>
          <w:sz w:val="26"/>
        </w:rPr>
      </w:pPr>
      <w:r w:rsidRPr="00AB51C1">
        <w:rPr>
          <w:rFonts w:ascii="Garamond" w:hAnsi="Garamond" w:cs="Times New Roman"/>
          <w:b/>
          <w:noProof/>
          <w:sz w:val="26"/>
        </w:rPr>
        <w:drawing>
          <wp:inline distT="0" distB="0" distL="0" distR="0">
            <wp:extent cx="2536190" cy="1527175"/>
            <wp:effectExtent l="0" t="0" r="0" b="0"/>
            <wp:docPr id="1"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1527175"/>
                    </a:xfrm>
                    <a:prstGeom prst="rect">
                      <a:avLst/>
                    </a:prstGeom>
                    <a:noFill/>
                    <a:ln>
                      <a:noFill/>
                    </a:ln>
                  </pic:spPr>
                </pic:pic>
              </a:graphicData>
            </a:graphic>
          </wp:inline>
        </w:drawing>
      </w:r>
    </w:p>
    <w:p w:rsidR="000A5C69" w:rsidRPr="003A16B2" w:rsidRDefault="000A5C69" w:rsidP="00C778C1">
      <w:pPr>
        <w:pStyle w:val="Title"/>
        <w:spacing w:before="0"/>
      </w:pPr>
      <w:r w:rsidRPr="003A16B2">
        <w:t>PROFESORA KĀRĻA DIŠLERA X</w:t>
      </w:r>
      <w:r w:rsidR="005929E8">
        <w:t>X</w:t>
      </w:r>
      <w:r w:rsidR="00C778C1">
        <w:t>I</w:t>
      </w:r>
      <w:r w:rsidRPr="003A16B2">
        <w:t xml:space="preserve"> KONSTITUCION</w:t>
      </w:r>
      <w:r>
        <w:t>ĀLĀS TIESAS PROCESA IZSPĒLE 201</w:t>
      </w:r>
      <w:r w:rsidR="00C778C1">
        <w:t>9</w:t>
      </w:r>
    </w:p>
    <w:p w:rsidR="000A5C69" w:rsidRPr="0080742D" w:rsidRDefault="005929E8" w:rsidP="00C778C1">
      <w:pPr>
        <w:pStyle w:val="Subtitle"/>
        <w:spacing w:after="0"/>
        <w:rPr>
          <w:sz w:val="22"/>
        </w:rPr>
      </w:pPr>
      <w:r>
        <w:t xml:space="preserve">SACENSĪBU </w:t>
      </w:r>
      <w:r w:rsidR="000A5C69" w:rsidRPr="0080742D">
        <w:t>NOLIKUMS</w:t>
      </w:r>
    </w:p>
    <w:p w:rsidR="00E3082D" w:rsidRPr="0080742D" w:rsidRDefault="00377635" w:rsidP="00C778C1">
      <w:pPr>
        <w:pStyle w:val="Heading1"/>
        <w:spacing w:before="0" w:after="0"/>
      </w:pPr>
      <w:r w:rsidRPr="0080742D">
        <w:t>Vispārīgie noteikumi</w:t>
      </w:r>
    </w:p>
    <w:p w:rsidR="00EB5922" w:rsidRDefault="00040B8D" w:rsidP="00C778C1">
      <w:pPr>
        <w:pStyle w:val="Heading2"/>
        <w:spacing w:before="0"/>
        <w:jc w:val="center"/>
      </w:pPr>
      <w:r w:rsidRPr="00040B8D">
        <w:t>Izspēle</w:t>
      </w:r>
    </w:p>
    <w:p w:rsidR="003E703D" w:rsidRDefault="00377635" w:rsidP="00484DCA">
      <w:pPr>
        <w:pStyle w:val="NoSpacing"/>
      </w:pPr>
      <w:r w:rsidRPr="0080742D">
        <w:t>201</w:t>
      </w:r>
      <w:r w:rsidR="00C778C1">
        <w:t>9</w:t>
      </w:r>
      <w:r w:rsidRPr="0080742D">
        <w:t>.</w:t>
      </w:r>
      <w:r w:rsidR="005929E8">
        <w:t> </w:t>
      </w:r>
      <w:r w:rsidRPr="0080742D">
        <w:t xml:space="preserve">gada tiesas procesa izspēle </w:t>
      </w:r>
      <w:r w:rsidR="00DC3564">
        <w:t>konstitucionālajās</w:t>
      </w:r>
      <w:r w:rsidR="00375CDE" w:rsidRPr="0080742D">
        <w:t xml:space="preserve"> tiesībās </w:t>
      </w:r>
      <w:r w:rsidRPr="0080742D">
        <w:t>(turpmāk –</w:t>
      </w:r>
      <w:r w:rsidR="00784D39" w:rsidRPr="0080742D">
        <w:t xml:space="preserve"> </w:t>
      </w:r>
      <w:r w:rsidRPr="0080742D">
        <w:t>Izspēle) notiek starp Latvijas Republikas augstākās izglītības mācību iestāžu komandām.</w:t>
      </w:r>
      <w:r w:rsidR="00784D39" w:rsidRPr="0080742D">
        <w:t xml:space="preserve"> </w:t>
      </w:r>
      <w:r w:rsidRPr="0080742D">
        <w:t xml:space="preserve">Sacensības </w:t>
      </w:r>
      <w:r w:rsidR="005929E8">
        <w:t>rīko</w:t>
      </w:r>
      <w:r w:rsidRPr="0080742D">
        <w:t xml:space="preserve"> tiesas procesa izspē</w:t>
      </w:r>
      <w:r w:rsidR="005929E8">
        <w:t>ļu</w:t>
      </w:r>
      <w:r w:rsidRPr="0080742D">
        <w:t xml:space="preserve"> veidā. </w:t>
      </w:r>
    </w:p>
    <w:p w:rsidR="00E3082D" w:rsidRDefault="00377635" w:rsidP="00484DCA">
      <w:pPr>
        <w:pStyle w:val="NoSpacing"/>
        <w:rPr>
          <w:rFonts w:cs="Times New Roman"/>
        </w:rPr>
      </w:pPr>
      <w:r w:rsidRPr="0080742D">
        <w:rPr>
          <w:rFonts w:cs="Times New Roman"/>
        </w:rPr>
        <w:t xml:space="preserve">Izspēlei ir </w:t>
      </w:r>
      <w:r w:rsidR="005929E8">
        <w:rPr>
          <w:rFonts w:cs="Times New Roman"/>
        </w:rPr>
        <w:t>divas daļas</w:t>
      </w:r>
      <w:r w:rsidR="004A6181">
        <w:rPr>
          <w:rFonts w:cs="Times New Roman"/>
        </w:rPr>
        <w:t xml:space="preserve"> – </w:t>
      </w:r>
      <w:r w:rsidRPr="0080742D">
        <w:rPr>
          <w:rFonts w:cs="Times New Roman"/>
        </w:rPr>
        <w:t xml:space="preserve">rakstiskā </w:t>
      </w:r>
      <w:r w:rsidR="005929E8">
        <w:rPr>
          <w:rFonts w:cs="Times New Roman"/>
        </w:rPr>
        <w:t>un mutvārdu</w:t>
      </w:r>
      <w:r w:rsidRPr="0080742D">
        <w:rPr>
          <w:rFonts w:cs="Times New Roman"/>
        </w:rPr>
        <w:t xml:space="preserve"> daļa</w:t>
      </w:r>
      <w:r w:rsidR="005F02E0">
        <w:rPr>
          <w:rFonts w:cs="Times New Roman"/>
        </w:rPr>
        <w:t>, kurā Izspēles dalībnieki risina iepriekš sagatavotu problēmsituāciju (turpmāk – Kāzuss).</w:t>
      </w:r>
    </w:p>
    <w:p w:rsidR="002A3D21" w:rsidRPr="0080742D" w:rsidRDefault="002A3D21" w:rsidP="002A3D21">
      <w:pPr>
        <w:pStyle w:val="NoSpacing"/>
        <w:numPr>
          <w:ilvl w:val="0"/>
          <w:numId w:val="0"/>
        </w:numPr>
        <w:rPr>
          <w:rFonts w:cs="Times New Roman"/>
        </w:rPr>
      </w:pPr>
    </w:p>
    <w:p w:rsidR="00784D39" w:rsidRPr="0080742D" w:rsidRDefault="00040B8D" w:rsidP="00C778C1">
      <w:pPr>
        <w:pStyle w:val="Heading2"/>
        <w:spacing w:before="0"/>
        <w:jc w:val="center"/>
      </w:pPr>
      <w:r>
        <w:t>Organizētāji</w:t>
      </w:r>
    </w:p>
    <w:p w:rsidR="00E3082D" w:rsidRDefault="00377635" w:rsidP="00484DCA">
      <w:pPr>
        <w:pStyle w:val="Normal1"/>
        <w:widowControl w:val="0"/>
        <w:spacing w:line="360" w:lineRule="auto"/>
        <w:jc w:val="both"/>
        <w:rPr>
          <w:rFonts w:ascii="Garamond" w:hAnsi="Garamond" w:cs="Times New Roman"/>
          <w:sz w:val="24"/>
        </w:rPr>
      </w:pPr>
      <w:r w:rsidRPr="0080742D">
        <w:rPr>
          <w:rFonts w:ascii="Garamond" w:hAnsi="Garamond" w:cs="Times New Roman"/>
          <w:sz w:val="24"/>
        </w:rPr>
        <w:t xml:space="preserve">Izspēli organizē </w:t>
      </w:r>
      <w:r w:rsidR="003E703D">
        <w:rPr>
          <w:rFonts w:ascii="Garamond" w:hAnsi="Garamond" w:cs="Times New Roman"/>
          <w:sz w:val="24"/>
        </w:rPr>
        <w:t>profesora Kārļa Dišlera fond</w:t>
      </w:r>
      <w:r w:rsidR="0021531D">
        <w:rPr>
          <w:rFonts w:ascii="Garamond" w:hAnsi="Garamond" w:cs="Times New Roman"/>
          <w:sz w:val="24"/>
        </w:rPr>
        <w:t>a izveidota organizatoru komanda.</w:t>
      </w:r>
    </w:p>
    <w:p w:rsidR="00D35D2F" w:rsidRPr="0080742D" w:rsidRDefault="00D35D2F" w:rsidP="00484DCA">
      <w:pPr>
        <w:pStyle w:val="Normal1"/>
        <w:widowControl w:val="0"/>
        <w:spacing w:line="360" w:lineRule="auto"/>
        <w:jc w:val="both"/>
        <w:rPr>
          <w:rFonts w:ascii="Garamond" w:hAnsi="Garamond" w:cs="Times New Roman"/>
        </w:rPr>
      </w:pPr>
    </w:p>
    <w:p w:rsidR="00784D39" w:rsidRPr="0080742D" w:rsidRDefault="00377635" w:rsidP="00C778C1">
      <w:pPr>
        <w:pStyle w:val="Heading2"/>
        <w:spacing w:before="0"/>
        <w:jc w:val="center"/>
      </w:pPr>
      <w:r w:rsidRPr="0080742D">
        <w:t>Izspēles tiesneši</w:t>
      </w:r>
    </w:p>
    <w:p w:rsidR="00E3082D" w:rsidRPr="0080742D" w:rsidRDefault="00377635" w:rsidP="00484DCA">
      <w:pPr>
        <w:pStyle w:val="NoSpacing"/>
      </w:pPr>
      <w:r w:rsidRPr="0080742D">
        <w:t xml:space="preserve">Izspēles tiesneši ir </w:t>
      </w:r>
      <w:r w:rsidR="003E4D7E">
        <w:t xml:space="preserve">juristi – </w:t>
      </w:r>
      <w:r w:rsidRPr="0080742D">
        <w:t>a</w:t>
      </w:r>
      <w:r w:rsidR="003E703D">
        <w:t>tzinību guvuši a</w:t>
      </w:r>
      <w:r w:rsidRPr="0080742D">
        <w:t>kadēmi</w:t>
      </w:r>
      <w:r w:rsidR="003E703D">
        <w:t>ķi, jomas profesionāļi vai starptautisko tiesas procesu izspēļu pārstāvji no Latvijas.</w:t>
      </w:r>
    </w:p>
    <w:p w:rsidR="003E703D" w:rsidRDefault="00377635" w:rsidP="00484DCA">
      <w:pPr>
        <w:pStyle w:val="NoSpacing"/>
      </w:pPr>
      <w:r w:rsidRPr="0080742D">
        <w:t>Tiesas sastāvu veido nepāra skaits tiesnešu. Priekšsacīkst</w:t>
      </w:r>
      <w:r w:rsidR="003E703D">
        <w:t>ēs</w:t>
      </w:r>
      <w:r w:rsidRPr="0080742D">
        <w:t xml:space="preserve"> </w:t>
      </w:r>
      <w:r w:rsidR="004A6181">
        <w:t xml:space="preserve">un ceturtdaļfinālā </w:t>
      </w:r>
      <w:r w:rsidRPr="0080742D">
        <w:t>trīs tiesneši, pusfināl</w:t>
      </w:r>
      <w:r w:rsidR="003E703D">
        <w:t>ā</w:t>
      </w:r>
      <w:r w:rsidRPr="0080742D">
        <w:t xml:space="preserve"> </w:t>
      </w:r>
      <w:r w:rsidR="00784D39" w:rsidRPr="0080742D">
        <w:t xml:space="preserve">– </w:t>
      </w:r>
      <w:r w:rsidRPr="0080742D">
        <w:t xml:space="preserve">pieci tiesneši, </w:t>
      </w:r>
      <w:r w:rsidR="003E703D">
        <w:t>bet</w:t>
      </w:r>
      <w:r w:rsidR="003E703D" w:rsidRPr="0080742D">
        <w:t xml:space="preserve"> </w:t>
      </w:r>
      <w:r w:rsidRPr="0080742D">
        <w:t>fināla izspēl</w:t>
      </w:r>
      <w:r w:rsidR="003E703D">
        <w:t>es</w:t>
      </w:r>
      <w:r w:rsidRPr="0080742D">
        <w:t xml:space="preserve"> tiesas sastāvā </w:t>
      </w:r>
      <w:r w:rsidR="003E703D">
        <w:t xml:space="preserve">– </w:t>
      </w:r>
      <w:r w:rsidRPr="0080742D">
        <w:t xml:space="preserve">septiņi tiesneši. </w:t>
      </w:r>
    </w:p>
    <w:p w:rsidR="00E3082D" w:rsidRDefault="00D35D2F" w:rsidP="00533E3A">
      <w:pPr>
        <w:pStyle w:val="NoSpacing"/>
      </w:pPr>
      <w:r>
        <w:t>Izspēles mutvārdu daļā k</w:t>
      </w:r>
      <w:r w:rsidR="00377635" w:rsidRPr="0080742D">
        <w:t>atrs tiesas sastāvs no sava vidus ievēl tiesas sēdes priekšsēdētāju. Ja tiesas sastāvs nevar</w:t>
      </w:r>
      <w:r w:rsidR="00784D39" w:rsidRPr="0080742D">
        <w:t xml:space="preserve"> </w:t>
      </w:r>
      <w:r w:rsidR="00377635" w:rsidRPr="0080742D">
        <w:t>vienoties par tiesas sēdes priek</w:t>
      </w:r>
      <w:r w:rsidR="003E703D">
        <w:t>šs</w:t>
      </w:r>
      <w:r w:rsidR="00377635" w:rsidRPr="0080742D">
        <w:t xml:space="preserve">ēdētāju, </w:t>
      </w:r>
      <w:r w:rsidR="0021531D">
        <w:t>lēmumu pieņem izspēles organizatoru komandas pārstāvis.</w:t>
      </w:r>
      <w:r w:rsidR="00377635" w:rsidRPr="0080742D">
        <w:t xml:space="preserve"> </w:t>
      </w:r>
    </w:p>
    <w:p w:rsidR="00D35D2F" w:rsidRDefault="00D35D2F" w:rsidP="00533E3A">
      <w:pPr>
        <w:pStyle w:val="NoSpacing"/>
      </w:pPr>
      <w:r>
        <w:t xml:space="preserve">Izspēles rakstiskajā daļā katras komandas iesniegtā Kāzusa risinājuma pieteikuma iesniedzēja un institūcijas, kas izdevusi </w:t>
      </w:r>
      <w:r w:rsidR="004A6181">
        <w:t>apstrīdēto</w:t>
      </w:r>
      <w:r>
        <w:t xml:space="preserve"> aktu, pozī</w:t>
      </w:r>
      <w:r w:rsidR="009F1F25">
        <w:t>ciju</w:t>
      </w:r>
      <w:r>
        <w:t xml:space="preserve"> novērtē trīs tiesneši.</w:t>
      </w:r>
    </w:p>
    <w:p w:rsidR="00C778C1" w:rsidRPr="0080742D" w:rsidRDefault="00C778C1" w:rsidP="0021531D">
      <w:pPr>
        <w:pStyle w:val="NoSpacing"/>
        <w:numPr>
          <w:ilvl w:val="0"/>
          <w:numId w:val="0"/>
        </w:numPr>
      </w:pPr>
    </w:p>
    <w:p w:rsidR="00784D39" w:rsidRPr="0080742D" w:rsidRDefault="00377635" w:rsidP="00C778C1">
      <w:pPr>
        <w:pStyle w:val="Heading2"/>
        <w:spacing w:before="0"/>
        <w:jc w:val="center"/>
      </w:pPr>
      <w:r w:rsidRPr="0080742D">
        <w:lastRenderedPageBreak/>
        <w:t>Izspēles dalībnieki</w:t>
      </w:r>
    </w:p>
    <w:p w:rsidR="00E3082D" w:rsidRPr="0080742D" w:rsidRDefault="00377635" w:rsidP="00484DCA">
      <w:pPr>
        <w:pStyle w:val="NoSpacing"/>
      </w:pPr>
      <w:r w:rsidRPr="0080742D">
        <w:t xml:space="preserve">Dalībai Izspēlē </w:t>
      </w:r>
      <w:r w:rsidR="003E703D">
        <w:t>drīkst</w:t>
      </w:r>
      <w:r w:rsidRPr="0080742D">
        <w:t xml:space="preserve"> pieteikties komandas</w:t>
      </w:r>
      <w:r w:rsidR="004F4518">
        <w:t>,</w:t>
      </w:r>
      <w:r w:rsidR="00484DCA">
        <w:t xml:space="preserve"> reģistrējot vismaz</w:t>
      </w:r>
      <w:r w:rsidRPr="0080742D">
        <w:t xml:space="preserve"> </w:t>
      </w:r>
      <w:r w:rsidR="00484DCA">
        <w:t>divus, bet ne vairāk kā</w:t>
      </w:r>
      <w:r w:rsidR="003E703D">
        <w:t xml:space="preserve"> trīs dalī</w:t>
      </w:r>
      <w:r w:rsidR="00484DCA">
        <w:t>bniekus</w:t>
      </w:r>
      <w:r w:rsidR="003E703D">
        <w:t xml:space="preserve">, kuri </w:t>
      </w:r>
      <w:r w:rsidRPr="0080742D">
        <w:t>studē</w:t>
      </w:r>
      <w:r w:rsidR="00784D39" w:rsidRPr="0080742D">
        <w:t xml:space="preserve"> </w:t>
      </w:r>
      <w:r w:rsidRPr="0080742D">
        <w:t xml:space="preserve">tiesību zinātnes studiju programmā </w:t>
      </w:r>
      <w:r w:rsidR="003E703D">
        <w:t>un nav ieguvuši jurista kvalifikāciju.</w:t>
      </w:r>
      <w:r w:rsidR="00761A6C">
        <w:t xml:space="preserve"> </w:t>
      </w:r>
    </w:p>
    <w:p w:rsidR="00E3082D" w:rsidRPr="0080742D" w:rsidRDefault="00484DCA" w:rsidP="00484DCA">
      <w:pPr>
        <w:pStyle w:val="NoSpacing"/>
      </w:pPr>
      <w:r>
        <w:t xml:space="preserve">Visas darbības, kas nepieciešamas Izspēles argumentācijas veidošanai (tajā skaitā, izpētes veikšana, rakstīšana, rediģēšana un citi), veic tikai Izspēles dalībnieki attiecīgās komandas ietvaros. </w:t>
      </w:r>
    </w:p>
    <w:p w:rsidR="00E3082D" w:rsidRPr="0080742D" w:rsidRDefault="00377635" w:rsidP="00484DCA">
      <w:pPr>
        <w:pStyle w:val="NoSpacing"/>
      </w:pPr>
      <w:r w:rsidRPr="0080742D">
        <w:t xml:space="preserve">Izspēlē kā dalībnieki nedrīkst piedalīties </w:t>
      </w:r>
      <w:r w:rsidR="00484DCA">
        <w:t>tās</w:t>
      </w:r>
      <w:r w:rsidRPr="0080742D">
        <w:t xml:space="preserve"> organizētāji, tiesneši</w:t>
      </w:r>
      <w:r w:rsidR="00484DCA">
        <w:t>, kā arī</w:t>
      </w:r>
      <w:r w:rsidRPr="0080742D">
        <w:t xml:space="preserve"> Nolikuma</w:t>
      </w:r>
      <w:r w:rsidR="00484DCA">
        <w:t xml:space="preserve"> </w:t>
      </w:r>
      <w:r w:rsidR="00484DCA" w:rsidRPr="00C778C1">
        <w:rPr>
          <w:b/>
        </w:rPr>
        <w:t>5.1.,</w:t>
      </w:r>
      <w:r w:rsidRPr="00C778C1">
        <w:rPr>
          <w:b/>
        </w:rPr>
        <w:t xml:space="preserve"> </w:t>
      </w:r>
      <w:r w:rsidR="001D11BC" w:rsidRPr="00C778C1">
        <w:rPr>
          <w:b/>
        </w:rPr>
        <w:fldChar w:fldCharType="begin"/>
      </w:r>
      <w:r w:rsidR="001D11BC" w:rsidRPr="00C778C1">
        <w:rPr>
          <w:b/>
        </w:rPr>
        <w:instrText xml:space="preserve"> REF _Ref397520796 \n \h </w:instrText>
      </w:r>
      <w:r w:rsidR="005929E8" w:rsidRPr="00C778C1">
        <w:rPr>
          <w:b/>
        </w:rPr>
        <w:instrText xml:space="preserve"> \* MERGEFORMAT </w:instrText>
      </w:r>
      <w:r w:rsidR="001D11BC" w:rsidRPr="00C778C1">
        <w:rPr>
          <w:b/>
        </w:rPr>
      </w:r>
      <w:r w:rsidR="001D11BC" w:rsidRPr="00C778C1">
        <w:rPr>
          <w:b/>
        </w:rPr>
        <w:fldChar w:fldCharType="separate"/>
      </w:r>
      <w:r w:rsidR="00CA4A34" w:rsidRPr="00C778C1">
        <w:rPr>
          <w:b/>
        </w:rPr>
        <w:t>7.1</w:t>
      </w:r>
      <w:r w:rsidR="001D11BC" w:rsidRPr="00C778C1">
        <w:rPr>
          <w:b/>
        </w:rPr>
        <w:fldChar w:fldCharType="end"/>
      </w:r>
      <w:r w:rsidRPr="00C778C1">
        <w:rPr>
          <w:b/>
        </w:rPr>
        <w:t>.</w:t>
      </w:r>
      <w:r w:rsidRPr="0080742D">
        <w:t xml:space="preserve"> un</w:t>
      </w:r>
      <w:r w:rsidR="00784D39" w:rsidRPr="0080742D">
        <w:t xml:space="preserve"> </w:t>
      </w:r>
      <w:r w:rsidR="001D11BC" w:rsidRPr="00C778C1">
        <w:rPr>
          <w:b/>
        </w:rPr>
        <w:fldChar w:fldCharType="begin"/>
      </w:r>
      <w:r w:rsidR="001D11BC" w:rsidRPr="00C778C1">
        <w:rPr>
          <w:b/>
        </w:rPr>
        <w:instrText xml:space="preserve"> REF _Ref397520822 \n \h </w:instrText>
      </w:r>
      <w:r w:rsidR="005929E8" w:rsidRPr="00C778C1">
        <w:rPr>
          <w:b/>
        </w:rPr>
        <w:instrText xml:space="preserve"> \* MERGEFORMAT </w:instrText>
      </w:r>
      <w:r w:rsidR="001D11BC" w:rsidRPr="00C778C1">
        <w:rPr>
          <w:b/>
        </w:rPr>
      </w:r>
      <w:r w:rsidR="001D11BC" w:rsidRPr="00C778C1">
        <w:rPr>
          <w:b/>
        </w:rPr>
        <w:fldChar w:fldCharType="separate"/>
      </w:r>
      <w:r w:rsidR="00CA4A34" w:rsidRPr="00C778C1">
        <w:rPr>
          <w:b/>
        </w:rPr>
        <w:t>22.1</w:t>
      </w:r>
      <w:r w:rsidR="001D11BC" w:rsidRPr="00C778C1">
        <w:rPr>
          <w:b/>
        </w:rPr>
        <w:fldChar w:fldCharType="end"/>
      </w:r>
      <w:r w:rsidRPr="00C778C1">
        <w:rPr>
          <w:b/>
        </w:rPr>
        <w:t>.</w:t>
      </w:r>
      <w:r w:rsidR="001D11BC">
        <w:t> </w:t>
      </w:r>
      <w:r w:rsidRPr="0080742D">
        <w:t>punktā minētie eksperti.</w:t>
      </w:r>
    </w:p>
    <w:p w:rsidR="00E3082D" w:rsidRDefault="00377635" w:rsidP="000B7101">
      <w:pPr>
        <w:pStyle w:val="NoSpacing"/>
        <w:rPr>
          <w:rFonts w:cs="Times New Roman"/>
        </w:rPr>
      </w:pPr>
      <w:r w:rsidRPr="0080742D">
        <w:t xml:space="preserve">Izspēlē kā komandu dalībnieki </w:t>
      </w:r>
      <w:r w:rsidR="0021531D">
        <w:t xml:space="preserve">vai treneri </w:t>
      </w:r>
      <w:r w:rsidR="000B7101">
        <w:t>drīkst</w:t>
      </w:r>
      <w:r w:rsidRPr="0080742D">
        <w:t xml:space="preserve"> piedalīties tie </w:t>
      </w:r>
      <w:r w:rsidR="0021531D">
        <w:t>izspēles organizatoru komandas</w:t>
      </w:r>
      <w:r w:rsidRPr="0080742D">
        <w:t xml:space="preserve"> </w:t>
      </w:r>
      <w:r w:rsidR="0021531D">
        <w:t>dalībnieki</w:t>
      </w:r>
      <w:r w:rsidRPr="0080742D">
        <w:t xml:space="preserve">, kuri </w:t>
      </w:r>
      <w:r w:rsidR="0021531D">
        <w:t>saņēmuši izspēles organizatoru komandas atļauju.</w:t>
      </w:r>
    </w:p>
    <w:p w:rsidR="00BB509C" w:rsidRPr="00BB3EF4" w:rsidRDefault="00BB509C" w:rsidP="0021531D">
      <w:pPr>
        <w:pStyle w:val="NoSpacing"/>
        <w:numPr>
          <w:ilvl w:val="0"/>
          <w:numId w:val="0"/>
        </w:numPr>
        <w:rPr>
          <w:rFonts w:cs="Times New Roman"/>
        </w:rPr>
      </w:pPr>
    </w:p>
    <w:p w:rsidR="009046C5" w:rsidRPr="0080742D" w:rsidRDefault="00377635" w:rsidP="00C778C1">
      <w:pPr>
        <w:pStyle w:val="Heading2"/>
        <w:spacing w:before="0"/>
        <w:jc w:val="center"/>
      </w:pPr>
      <w:r w:rsidRPr="0080742D">
        <w:t>Komandu treneri</w:t>
      </w:r>
    </w:p>
    <w:p w:rsidR="00E3082D" w:rsidRPr="0080742D" w:rsidRDefault="00377635" w:rsidP="00484DCA">
      <w:pPr>
        <w:pStyle w:val="NoSpacing"/>
      </w:pPr>
      <w:r w:rsidRPr="0080742D">
        <w:t xml:space="preserve">Komandām </w:t>
      </w:r>
      <w:r w:rsidR="000B7101">
        <w:t>drīkst</w:t>
      </w:r>
      <w:r w:rsidRPr="0080742D">
        <w:t xml:space="preserve"> būt treneri. </w:t>
      </w:r>
      <w:r w:rsidR="0070013C">
        <w:t xml:space="preserve">Komandas treneris drīkst būt kāds no </w:t>
      </w:r>
      <w:r w:rsidR="008C424A">
        <w:t>I</w:t>
      </w:r>
      <w:r w:rsidR="0070013C">
        <w:t xml:space="preserve">zspēles organizatoru piedāvātajiem treneriem vai komandas pašas izvēlēta persona. </w:t>
      </w:r>
      <w:r w:rsidRPr="0080742D">
        <w:t>T</w:t>
      </w:r>
      <w:r w:rsidR="000B7101">
        <w:t xml:space="preserve">reneri </w:t>
      </w:r>
      <w:r w:rsidRPr="0080742D">
        <w:t xml:space="preserve">nedrīkst būt Izspēles tiesneši un Nolikuma </w:t>
      </w:r>
      <w:r w:rsidR="00BB3EF4" w:rsidRPr="00C778C1">
        <w:rPr>
          <w:b/>
        </w:rPr>
        <w:fldChar w:fldCharType="begin"/>
      </w:r>
      <w:r w:rsidR="00BB3EF4" w:rsidRPr="00C778C1">
        <w:rPr>
          <w:b/>
        </w:rPr>
        <w:instrText xml:space="preserve"> REF _Ref397520796 \n \h </w:instrText>
      </w:r>
      <w:r w:rsidR="005929E8" w:rsidRPr="00C778C1">
        <w:rPr>
          <w:b/>
        </w:rPr>
        <w:instrText xml:space="preserve"> \* MERGEFORMAT </w:instrText>
      </w:r>
      <w:r w:rsidR="00BB3EF4" w:rsidRPr="00C778C1">
        <w:rPr>
          <w:b/>
        </w:rPr>
      </w:r>
      <w:r w:rsidR="00BB3EF4" w:rsidRPr="00C778C1">
        <w:rPr>
          <w:b/>
        </w:rPr>
        <w:fldChar w:fldCharType="separate"/>
      </w:r>
      <w:r w:rsidR="00CA4A34" w:rsidRPr="00C778C1">
        <w:rPr>
          <w:b/>
        </w:rPr>
        <w:t>7.1</w:t>
      </w:r>
      <w:r w:rsidR="00BB3EF4" w:rsidRPr="00C778C1">
        <w:rPr>
          <w:b/>
        </w:rPr>
        <w:fldChar w:fldCharType="end"/>
      </w:r>
      <w:r w:rsidRPr="00C778C1">
        <w:rPr>
          <w:b/>
        </w:rPr>
        <w:t>.</w:t>
      </w:r>
      <w:r w:rsidRPr="0080742D">
        <w:t xml:space="preserve"> un</w:t>
      </w:r>
      <w:r w:rsidR="009046C5" w:rsidRPr="0080742D">
        <w:t xml:space="preserve"> </w:t>
      </w:r>
      <w:r w:rsidR="00BB3EF4" w:rsidRPr="00C778C1">
        <w:rPr>
          <w:b/>
        </w:rPr>
        <w:fldChar w:fldCharType="begin"/>
      </w:r>
      <w:r w:rsidR="00BB3EF4" w:rsidRPr="00C778C1">
        <w:rPr>
          <w:b/>
        </w:rPr>
        <w:instrText xml:space="preserve"> REF _Ref397520822 \n \h </w:instrText>
      </w:r>
      <w:r w:rsidR="005929E8" w:rsidRPr="00C778C1">
        <w:rPr>
          <w:b/>
        </w:rPr>
        <w:instrText xml:space="preserve"> \* MERGEFORMAT </w:instrText>
      </w:r>
      <w:r w:rsidR="00BB3EF4" w:rsidRPr="00C778C1">
        <w:rPr>
          <w:b/>
        </w:rPr>
      </w:r>
      <w:r w:rsidR="00BB3EF4" w:rsidRPr="00C778C1">
        <w:rPr>
          <w:b/>
        </w:rPr>
        <w:fldChar w:fldCharType="separate"/>
      </w:r>
      <w:r w:rsidR="00CA4A34" w:rsidRPr="00C778C1">
        <w:rPr>
          <w:b/>
        </w:rPr>
        <w:t>22.1</w:t>
      </w:r>
      <w:r w:rsidR="00BB3EF4" w:rsidRPr="00C778C1">
        <w:rPr>
          <w:b/>
        </w:rPr>
        <w:fldChar w:fldCharType="end"/>
      </w:r>
      <w:r w:rsidRPr="00C778C1">
        <w:rPr>
          <w:b/>
        </w:rPr>
        <w:t>.</w:t>
      </w:r>
      <w:r w:rsidRPr="0080742D">
        <w:t xml:space="preserve"> punktā minētie eksperti.</w:t>
      </w:r>
    </w:p>
    <w:p w:rsidR="00E3082D" w:rsidRPr="0080742D" w:rsidRDefault="00377635" w:rsidP="000B7101">
      <w:pPr>
        <w:pStyle w:val="NoSpacing"/>
      </w:pPr>
      <w:r w:rsidRPr="0080742D">
        <w:t>Komandas trenera darbība var izpausties kā vispārēja tēmas apskate, ieteikumi par</w:t>
      </w:r>
      <w:r w:rsidR="009046C5" w:rsidRPr="0080742D">
        <w:t xml:space="preserve"> </w:t>
      </w:r>
      <w:r w:rsidR="004A6181">
        <w:t>piemērojamām pētniecības</w:t>
      </w:r>
      <w:r w:rsidRPr="0080742D">
        <w:t xml:space="preserve"> metodēm</w:t>
      </w:r>
      <w:r w:rsidR="004A6181">
        <w:t xml:space="preserve"> un resursiem</w:t>
      </w:r>
      <w:r w:rsidRPr="0080742D">
        <w:t>, vispārēji ieteikumi par rakstiskās argumentācijas</w:t>
      </w:r>
      <w:r w:rsidR="009046C5" w:rsidRPr="0080742D">
        <w:t xml:space="preserve"> </w:t>
      </w:r>
      <w:r w:rsidRPr="0080742D">
        <w:t xml:space="preserve">sagatavošanu, konsultācijas </w:t>
      </w:r>
      <w:r w:rsidR="000B7101">
        <w:t xml:space="preserve">par </w:t>
      </w:r>
      <w:r w:rsidRPr="0080742D">
        <w:t>argumentācijas tehniku</w:t>
      </w:r>
      <w:r w:rsidR="002F5956">
        <w:t>, uzstāšanos mutvārdu daļā</w:t>
      </w:r>
      <w:r w:rsidRPr="0080742D">
        <w:t xml:space="preserve"> un cita veida atbalsts komandai.</w:t>
      </w:r>
      <w:r w:rsidR="009046C5" w:rsidRPr="0080742D">
        <w:t xml:space="preserve"> </w:t>
      </w:r>
      <w:r w:rsidRPr="0080742D">
        <w:t>Komandas trenerim ir aizliegts veidot argumentus komandas dalībnieku vietā.</w:t>
      </w:r>
    </w:p>
    <w:p w:rsidR="00E3082D" w:rsidRDefault="00377635" w:rsidP="0080367B">
      <w:pPr>
        <w:pStyle w:val="NoSpacing"/>
      </w:pPr>
      <w:r w:rsidRPr="0080742D">
        <w:t xml:space="preserve">Šī punkta noteikumu neievērošanas gadījumā </w:t>
      </w:r>
      <w:r w:rsidR="0021531D">
        <w:t>izspēles organizatoru komanda</w:t>
      </w:r>
      <w:r w:rsidRPr="0080742D">
        <w:t xml:space="preserve"> lemj par komandas</w:t>
      </w:r>
      <w:r w:rsidR="009046C5" w:rsidRPr="0080742D">
        <w:t xml:space="preserve"> </w:t>
      </w:r>
      <w:r w:rsidRPr="0080742D">
        <w:t xml:space="preserve">turpmāko dalību </w:t>
      </w:r>
      <w:r w:rsidR="008C424A">
        <w:t>I</w:t>
      </w:r>
      <w:r w:rsidR="004A6181">
        <w:t xml:space="preserve">zspēlē – </w:t>
      </w:r>
      <w:r w:rsidRPr="0080742D">
        <w:t xml:space="preserve">par </w:t>
      </w:r>
      <w:r w:rsidR="004A6181">
        <w:t>komandas diskvalifikāciju</w:t>
      </w:r>
      <w:r w:rsidRPr="0080742D">
        <w:t xml:space="preserve"> vai par </w:t>
      </w:r>
      <w:r w:rsidR="004A6181">
        <w:t xml:space="preserve">soda punktu </w:t>
      </w:r>
      <w:r w:rsidRPr="0080742D">
        <w:t>piemērošanu.</w:t>
      </w:r>
    </w:p>
    <w:p w:rsidR="0070013C" w:rsidRDefault="0070013C" w:rsidP="00533E3A">
      <w:pPr>
        <w:pStyle w:val="NoSpacing"/>
      </w:pPr>
      <w:r>
        <w:t>Vienai komandai drīkst būt viens treneris, kuru tā norāda pieteikuma anketā.</w:t>
      </w:r>
    </w:p>
    <w:p w:rsidR="002F5956" w:rsidRPr="0080742D" w:rsidRDefault="002F5956" w:rsidP="0021531D">
      <w:pPr>
        <w:pStyle w:val="NoSpacing"/>
        <w:numPr>
          <w:ilvl w:val="0"/>
          <w:numId w:val="0"/>
        </w:numPr>
      </w:pPr>
    </w:p>
    <w:p w:rsidR="009046C5" w:rsidRPr="0080742D" w:rsidRDefault="00377635" w:rsidP="00C778C1">
      <w:pPr>
        <w:pStyle w:val="Heading2"/>
        <w:spacing w:before="0"/>
        <w:jc w:val="center"/>
      </w:pPr>
      <w:r w:rsidRPr="0080742D">
        <w:t>Pieteikšanās dalībai Izspēlē</w:t>
      </w:r>
    </w:p>
    <w:p w:rsidR="00E3082D" w:rsidRPr="0080742D" w:rsidRDefault="00581D9D" w:rsidP="00484DCA">
      <w:pPr>
        <w:pStyle w:val="NoSpacing"/>
      </w:pPr>
      <w:r>
        <w:t>Komandas P</w:t>
      </w:r>
      <w:r w:rsidR="00377635" w:rsidRPr="0080742D">
        <w:t xml:space="preserve">ieteikuma anketas iesniedz Nolikuma </w:t>
      </w:r>
      <w:r w:rsidR="0021531D">
        <w:rPr>
          <w:b/>
        </w:rPr>
        <w:t>6.2.</w:t>
      </w:r>
      <w:r w:rsidR="00377635" w:rsidRPr="0080742D">
        <w:t xml:space="preserve"> punktā</w:t>
      </w:r>
      <w:r w:rsidR="009046C5" w:rsidRPr="0080742D">
        <w:t xml:space="preserve"> </w:t>
      </w:r>
      <w:r w:rsidR="00377635" w:rsidRPr="0080742D">
        <w:t>noteiktajā kārtībā. Pieteikuma anket</w:t>
      </w:r>
      <w:r w:rsidR="0070013C">
        <w:t xml:space="preserve">u drīkst iesniegt vienlaicīgi ar rakstisko darbu (argumentāciju), tādā gadījumā tā tiek uzskatīta par </w:t>
      </w:r>
      <w:r w:rsidR="00377635" w:rsidRPr="0080742D">
        <w:t>pieteikšanos dalībai Izspēlē</w:t>
      </w:r>
      <w:r w:rsidR="0070013C">
        <w:t>.</w:t>
      </w:r>
    </w:p>
    <w:p w:rsidR="0080367B" w:rsidRDefault="002445CE" w:rsidP="0080367B">
      <w:pPr>
        <w:pStyle w:val="NoSpacing"/>
      </w:pPr>
      <w:r>
        <w:t>Komanda</w:t>
      </w:r>
      <w:r w:rsidR="00C52DB9">
        <w:t>s</w:t>
      </w:r>
      <w:r>
        <w:t xml:space="preserve"> </w:t>
      </w:r>
      <w:r w:rsidR="007A5649">
        <w:t xml:space="preserve">Pieteikuma anketas dalībai Izspēlē iesniedz </w:t>
      </w:r>
      <w:r>
        <w:t xml:space="preserve">līdz </w:t>
      </w:r>
      <w:r w:rsidRPr="00C778C1">
        <w:rPr>
          <w:b/>
        </w:rPr>
        <w:t>201</w:t>
      </w:r>
      <w:r w:rsidR="0021531D">
        <w:rPr>
          <w:b/>
        </w:rPr>
        <w:t>9</w:t>
      </w:r>
      <w:r w:rsidR="00BB23E6">
        <w:rPr>
          <w:b/>
        </w:rPr>
        <w:t>.</w:t>
      </w:r>
      <w:r w:rsidR="004F4518">
        <w:rPr>
          <w:b/>
        </w:rPr>
        <w:t xml:space="preserve"> </w:t>
      </w:r>
      <w:r w:rsidRPr="00C778C1">
        <w:rPr>
          <w:b/>
        </w:rPr>
        <w:t xml:space="preserve">gada </w:t>
      </w:r>
      <w:r w:rsidR="0070013C" w:rsidRPr="00C778C1">
        <w:rPr>
          <w:b/>
        </w:rPr>
        <w:t>2</w:t>
      </w:r>
      <w:r w:rsidR="0021531D">
        <w:rPr>
          <w:b/>
        </w:rPr>
        <w:t>7</w:t>
      </w:r>
      <w:r w:rsidRPr="00C778C1">
        <w:rPr>
          <w:b/>
        </w:rPr>
        <w:t>.</w:t>
      </w:r>
      <w:r w:rsidR="004F4518">
        <w:rPr>
          <w:b/>
        </w:rPr>
        <w:t xml:space="preserve"> </w:t>
      </w:r>
      <w:r w:rsidR="0070013C" w:rsidRPr="00C778C1">
        <w:rPr>
          <w:b/>
        </w:rPr>
        <w:t>oktobrim</w:t>
      </w:r>
      <w:r>
        <w:t xml:space="preserve">, sūtot uz e-pasta adresi: </w:t>
      </w:r>
      <w:r w:rsidR="0021531D">
        <w:rPr>
          <w:b/>
        </w:rPr>
        <w:t>disleraizspele</w:t>
      </w:r>
      <w:r w:rsidRPr="00C778C1">
        <w:rPr>
          <w:b/>
        </w:rPr>
        <w:t>@gmail.com</w:t>
      </w:r>
      <w:r w:rsidR="007A5649">
        <w:t>.</w:t>
      </w:r>
      <w:r>
        <w:t xml:space="preserve"> </w:t>
      </w:r>
      <w:r w:rsidR="00377635" w:rsidRPr="0080742D">
        <w:t>Piet</w:t>
      </w:r>
      <w:r w:rsidR="007A5649">
        <w:t>eikuma anketā</w:t>
      </w:r>
      <w:r w:rsidR="00377635" w:rsidRPr="0080742D">
        <w:t xml:space="preserve"> </w:t>
      </w:r>
      <w:r w:rsidR="007A5649">
        <w:t>komandas norāda</w:t>
      </w:r>
      <w:r w:rsidR="0070013C">
        <w:t>:</w:t>
      </w:r>
      <w:r w:rsidR="009046C5" w:rsidRPr="0080742D">
        <w:t xml:space="preserve"> </w:t>
      </w:r>
      <w:r w:rsidR="006C38EB">
        <w:t xml:space="preserve">komandas devīzi (nosaukumu), </w:t>
      </w:r>
      <w:r w:rsidR="0070013C">
        <w:t xml:space="preserve">komandas </w:t>
      </w:r>
      <w:r w:rsidR="00377635" w:rsidRPr="0080742D">
        <w:t xml:space="preserve">dalībnieku vārdu, uzvārdu, tālruņa numuru, elektroniskā pasta adresi, kā arī </w:t>
      </w:r>
      <w:r w:rsidR="0070013C">
        <w:t>tās</w:t>
      </w:r>
      <w:r w:rsidR="0070013C" w:rsidRPr="0080742D">
        <w:t xml:space="preserve"> </w:t>
      </w:r>
      <w:r w:rsidR="00377635" w:rsidRPr="0080742D">
        <w:t>kapteini.</w:t>
      </w:r>
      <w:r w:rsidR="009046C5" w:rsidRPr="0080742D">
        <w:t xml:space="preserve"> </w:t>
      </w:r>
      <w:r w:rsidR="00BB23E6">
        <w:t xml:space="preserve">Ja komandai ir treneris, pieteikuma anketā norāda arī trenera vārdu, uzvārdu un kontaktinformāciju. </w:t>
      </w:r>
      <w:r w:rsidR="00377635" w:rsidRPr="0080742D">
        <w:t>Pieteikuma anketa ir obligāta un neatņemama dalībnieku reģistrācijas sastāvdaļa.</w:t>
      </w:r>
      <w:r w:rsidR="0070013C">
        <w:t xml:space="preserve"> Pieteikuma anketas paraugs pievienots Nolikuma Pielikumā</w:t>
      </w:r>
      <w:r w:rsidR="0080367B">
        <w:t>.</w:t>
      </w:r>
    </w:p>
    <w:p w:rsidR="0080367B" w:rsidRPr="0080742D" w:rsidRDefault="0080367B" w:rsidP="0080367B">
      <w:pPr>
        <w:pStyle w:val="NoSpacing"/>
      </w:pPr>
      <w:r>
        <w:lastRenderedPageBreak/>
        <w:t xml:space="preserve">Komandas nosaukums jeb devīze ir vārds vai īss teiciens (līdz pieciem vārdiem), ar ko pieteikuma anketā aizstāts autoru vārds. </w:t>
      </w:r>
      <w:r w:rsidR="00BF7F61">
        <w:t>Lai nodrošinātu anonimitāti un godīgu sacensību norisi, š</w:t>
      </w:r>
      <w:r>
        <w:t xml:space="preserve">ī devīze turpmāk ir vienīgā komandas identifikācijas zīme. </w:t>
      </w:r>
      <w:r w:rsidRPr="0080742D">
        <w:t>Ja komanda kā devīzi izmanto izteicienu vai frāzi, kas nav valsts valodā, tad papildus norādāms tās tulkojums.</w:t>
      </w:r>
    </w:p>
    <w:p w:rsidR="00E3082D" w:rsidRPr="0080742D" w:rsidRDefault="00377635" w:rsidP="0070013C">
      <w:pPr>
        <w:pStyle w:val="NoSpacing"/>
      </w:pPr>
      <w:r w:rsidRPr="0080742D">
        <w:t xml:space="preserve">Saziņā ar Izspēles organizētājiem komandu pārstāv </w:t>
      </w:r>
      <w:r w:rsidR="0070013C">
        <w:t xml:space="preserve">tikai </w:t>
      </w:r>
      <w:r w:rsidRPr="0080742D">
        <w:t>tās kapteinis.</w:t>
      </w:r>
    </w:p>
    <w:p w:rsidR="00E3082D" w:rsidRPr="0080742D" w:rsidRDefault="00377635" w:rsidP="0070013C">
      <w:pPr>
        <w:pStyle w:val="NoSpacing"/>
      </w:pPr>
      <w:r w:rsidRPr="0080742D">
        <w:t xml:space="preserve">Organizētāji ar </w:t>
      </w:r>
      <w:r w:rsidR="0070013C">
        <w:t xml:space="preserve">komandu </w:t>
      </w:r>
      <w:r w:rsidRPr="0080742D">
        <w:t xml:space="preserve">dalībniekiem </w:t>
      </w:r>
      <w:r w:rsidR="0070013C">
        <w:t xml:space="preserve">sazinās </w:t>
      </w:r>
      <w:r w:rsidRPr="0080742D">
        <w:t>ar elektroniskā pasta ziņojumu palīdzību, nosūtot tos uz</w:t>
      </w:r>
      <w:r w:rsidR="009046C5" w:rsidRPr="0080742D">
        <w:t xml:space="preserve"> </w:t>
      </w:r>
      <w:r w:rsidRPr="0080742D">
        <w:t>komandas pieteikumā norādīto komandas kapteiņa elektroniskā pasta adresi.</w:t>
      </w:r>
    </w:p>
    <w:p w:rsidR="00E3082D" w:rsidRPr="0080742D" w:rsidRDefault="00377635" w:rsidP="0080367B">
      <w:pPr>
        <w:pStyle w:val="NoSpacing"/>
      </w:pPr>
      <w:r w:rsidRPr="0080742D">
        <w:t xml:space="preserve">Piesakoties dalībai Izspēlē, uz rakstiskās kāzusa analīzes titullapas </w:t>
      </w:r>
      <w:r w:rsidR="0080367B">
        <w:t xml:space="preserve">komandas </w:t>
      </w:r>
      <w:r w:rsidRPr="0080742D">
        <w:t>norāda</w:t>
      </w:r>
      <w:r w:rsidR="009046C5" w:rsidRPr="0080742D">
        <w:t xml:space="preserve"> </w:t>
      </w:r>
      <w:r w:rsidR="0080367B">
        <w:t>tikai savu</w:t>
      </w:r>
      <w:r w:rsidR="0080367B" w:rsidRPr="0080742D">
        <w:t xml:space="preserve"> </w:t>
      </w:r>
      <w:r w:rsidRPr="0080742D">
        <w:t>devīzi</w:t>
      </w:r>
      <w:r w:rsidR="0080367B">
        <w:t xml:space="preserve">. Šī punkta pārkāpuma gadījumā </w:t>
      </w:r>
      <w:r w:rsidR="0021531D">
        <w:t>izspēles organizatoru komanda</w:t>
      </w:r>
      <w:r w:rsidR="0080367B">
        <w:t xml:space="preserve"> var lemt par komandas diskvalifikāciju</w:t>
      </w:r>
      <w:r w:rsidR="002F5956">
        <w:t xml:space="preserve"> vai soda punktu piešķiršanu</w:t>
      </w:r>
      <w:r w:rsidR="0080367B">
        <w:t>.</w:t>
      </w:r>
    </w:p>
    <w:p w:rsidR="00E3082D" w:rsidRDefault="00377635" w:rsidP="0080367B">
      <w:pPr>
        <w:pStyle w:val="NoSpacing"/>
        <w:rPr>
          <w:rFonts w:cs="Times New Roman"/>
        </w:rPr>
      </w:pPr>
      <w:bookmarkStart w:id="0" w:name="_Ref397521239"/>
      <w:r w:rsidRPr="0080742D">
        <w:t xml:space="preserve">Ja komandas dalībnieks </w:t>
      </w:r>
      <w:r w:rsidR="00BF7F61">
        <w:t xml:space="preserve">objektīvu iemeslu dēļ </w:t>
      </w:r>
      <w:r w:rsidRPr="0080742D">
        <w:t>nevar turpināt dalību Izspēlē, pārējie dal</w:t>
      </w:r>
      <w:r w:rsidR="00581D9D">
        <w:t>ībnieki, ja tādi ir, to turpina</w:t>
      </w:r>
      <w:r w:rsidR="00CC0BBB">
        <w:t xml:space="preserve"> </w:t>
      </w:r>
      <w:r w:rsidRPr="00CC0BBB">
        <w:rPr>
          <w:rFonts w:cs="Times New Roman"/>
        </w:rPr>
        <w:t xml:space="preserve">pirms tam par to savlaicīgi informējot </w:t>
      </w:r>
      <w:r w:rsidR="00BF7F61">
        <w:rPr>
          <w:rFonts w:cs="Times New Roman"/>
        </w:rPr>
        <w:t>I</w:t>
      </w:r>
      <w:r w:rsidRPr="00CC0BBB">
        <w:rPr>
          <w:rFonts w:cs="Times New Roman"/>
        </w:rPr>
        <w:t>zspēles organizētājus.</w:t>
      </w:r>
      <w:bookmarkEnd w:id="0"/>
    </w:p>
    <w:p w:rsidR="002F5956" w:rsidRPr="00CC0BBB" w:rsidRDefault="002F5956" w:rsidP="0021531D">
      <w:pPr>
        <w:pStyle w:val="NoSpacing"/>
        <w:numPr>
          <w:ilvl w:val="0"/>
          <w:numId w:val="0"/>
        </w:numPr>
        <w:rPr>
          <w:rFonts w:cs="Times New Roman"/>
        </w:rPr>
      </w:pPr>
    </w:p>
    <w:p w:rsidR="009046C5" w:rsidRPr="0080742D" w:rsidRDefault="00040B8D" w:rsidP="00C778C1">
      <w:pPr>
        <w:pStyle w:val="Heading2"/>
        <w:spacing w:before="0"/>
        <w:jc w:val="center"/>
      </w:pPr>
      <w:r>
        <w:t>Izspēles kāzusa izstrāde</w:t>
      </w:r>
    </w:p>
    <w:p w:rsidR="00E3082D" w:rsidRPr="0080742D" w:rsidRDefault="00377635" w:rsidP="00484DCA">
      <w:pPr>
        <w:pStyle w:val="NoSpacing"/>
      </w:pPr>
      <w:bookmarkStart w:id="1" w:name="_Ref397520796"/>
      <w:r w:rsidRPr="0080742D">
        <w:t xml:space="preserve">Izspēles </w:t>
      </w:r>
      <w:r w:rsidR="005F02E0">
        <w:t>K</w:t>
      </w:r>
      <w:r w:rsidRPr="0080742D">
        <w:t>āzusu izstrādā tiesību eksperti</w:t>
      </w:r>
      <w:r w:rsidR="005F02E0">
        <w:t xml:space="preserve"> sadarbībā ar Izspēles organizētājiem.</w:t>
      </w:r>
      <w:bookmarkEnd w:id="1"/>
    </w:p>
    <w:p w:rsidR="00E3082D" w:rsidRDefault="00377635" w:rsidP="000B7101">
      <w:pPr>
        <w:pStyle w:val="NoSpacing"/>
      </w:pPr>
      <w:r w:rsidRPr="0080742D">
        <w:t>Kāzusa izstrādāšanā un tā vērtēšanā nepiedalās Izspēles dalībnieki un komandu treneri</w:t>
      </w:r>
      <w:r w:rsidR="00BF7F61">
        <w:t>, bet var piedalīties tiesneši.</w:t>
      </w:r>
    </w:p>
    <w:p w:rsidR="00851971" w:rsidRPr="0080742D" w:rsidRDefault="00851971" w:rsidP="0021531D">
      <w:pPr>
        <w:pStyle w:val="NoSpacing"/>
        <w:numPr>
          <w:ilvl w:val="0"/>
          <w:numId w:val="0"/>
        </w:numPr>
      </w:pPr>
    </w:p>
    <w:p w:rsidR="00040B8D" w:rsidRDefault="00377635" w:rsidP="00C778C1">
      <w:pPr>
        <w:pStyle w:val="Heading2"/>
        <w:spacing w:before="0"/>
        <w:jc w:val="center"/>
      </w:pPr>
      <w:r w:rsidRPr="0080742D">
        <w:t>Kāzusa publicēšana</w:t>
      </w:r>
    </w:p>
    <w:p w:rsidR="00E3082D" w:rsidRDefault="00377635" w:rsidP="00484DCA">
      <w:pPr>
        <w:pStyle w:val="Normal1"/>
        <w:widowControl w:val="0"/>
        <w:spacing w:line="360" w:lineRule="auto"/>
        <w:jc w:val="both"/>
        <w:rPr>
          <w:rFonts w:ascii="Garamond" w:hAnsi="Garamond" w:cs="Times New Roman"/>
          <w:sz w:val="24"/>
        </w:rPr>
      </w:pPr>
      <w:r w:rsidRPr="0080742D">
        <w:rPr>
          <w:rFonts w:ascii="Garamond" w:hAnsi="Garamond" w:cs="Times New Roman"/>
          <w:sz w:val="24"/>
        </w:rPr>
        <w:t>Kāzusa tekst</w:t>
      </w:r>
      <w:r w:rsidR="005F02E0">
        <w:rPr>
          <w:rFonts w:ascii="Garamond" w:hAnsi="Garamond" w:cs="Times New Roman"/>
          <w:sz w:val="24"/>
        </w:rPr>
        <w:t>s,</w:t>
      </w:r>
      <w:r w:rsidRPr="0080742D">
        <w:rPr>
          <w:rFonts w:ascii="Garamond" w:hAnsi="Garamond" w:cs="Times New Roman"/>
          <w:sz w:val="24"/>
        </w:rPr>
        <w:t xml:space="preserve"> </w:t>
      </w:r>
      <w:r w:rsidR="005F02E0">
        <w:rPr>
          <w:rFonts w:ascii="Garamond" w:hAnsi="Garamond" w:cs="Times New Roman"/>
          <w:sz w:val="24"/>
        </w:rPr>
        <w:t>I</w:t>
      </w:r>
      <w:r w:rsidRPr="0080742D">
        <w:rPr>
          <w:rFonts w:ascii="Garamond" w:hAnsi="Garamond" w:cs="Times New Roman"/>
          <w:sz w:val="24"/>
        </w:rPr>
        <w:t>zspēles nolikum</w:t>
      </w:r>
      <w:r w:rsidR="005F02E0">
        <w:rPr>
          <w:rFonts w:ascii="Garamond" w:hAnsi="Garamond" w:cs="Times New Roman"/>
          <w:sz w:val="24"/>
        </w:rPr>
        <w:t>s</w:t>
      </w:r>
      <w:r w:rsidRPr="0080742D">
        <w:rPr>
          <w:rFonts w:ascii="Garamond" w:hAnsi="Garamond" w:cs="Times New Roman"/>
          <w:sz w:val="24"/>
        </w:rPr>
        <w:t xml:space="preserve"> </w:t>
      </w:r>
      <w:r w:rsidR="005F02E0">
        <w:rPr>
          <w:rFonts w:ascii="Garamond" w:hAnsi="Garamond" w:cs="Times New Roman"/>
          <w:sz w:val="24"/>
        </w:rPr>
        <w:t xml:space="preserve">un organizatoru piedāvātais treneru saraksts </w:t>
      </w:r>
      <w:r w:rsidR="005C6A6D">
        <w:rPr>
          <w:rFonts w:ascii="Garamond" w:hAnsi="Garamond" w:cs="Times New Roman"/>
          <w:sz w:val="24"/>
        </w:rPr>
        <w:t>2019.</w:t>
      </w:r>
      <w:r w:rsidR="004F4518">
        <w:rPr>
          <w:rFonts w:ascii="Garamond" w:hAnsi="Garamond" w:cs="Times New Roman"/>
          <w:sz w:val="24"/>
        </w:rPr>
        <w:t xml:space="preserve"> </w:t>
      </w:r>
      <w:r w:rsidR="005C6A6D">
        <w:rPr>
          <w:rFonts w:ascii="Garamond" w:hAnsi="Garamond" w:cs="Times New Roman"/>
          <w:sz w:val="24"/>
        </w:rPr>
        <w:t>gada 1.</w:t>
      </w:r>
      <w:r w:rsidR="004F4518">
        <w:rPr>
          <w:rFonts w:ascii="Garamond" w:hAnsi="Garamond" w:cs="Times New Roman"/>
          <w:sz w:val="24"/>
        </w:rPr>
        <w:t xml:space="preserve"> </w:t>
      </w:r>
      <w:r w:rsidR="005C6A6D">
        <w:rPr>
          <w:rFonts w:ascii="Garamond" w:hAnsi="Garamond" w:cs="Times New Roman"/>
          <w:sz w:val="24"/>
        </w:rPr>
        <w:t>oktobrī t</w:t>
      </w:r>
      <w:r w:rsidR="005F02E0">
        <w:rPr>
          <w:rFonts w:ascii="Garamond" w:hAnsi="Garamond" w:cs="Times New Roman"/>
          <w:sz w:val="24"/>
        </w:rPr>
        <w:t>iek</w:t>
      </w:r>
      <w:r w:rsidRPr="0080742D">
        <w:rPr>
          <w:rFonts w:ascii="Garamond" w:hAnsi="Garamond" w:cs="Times New Roman"/>
          <w:sz w:val="24"/>
        </w:rPr>
        <w:t xml:space="preserve"> publicē</w:t>
      </w:r>
      <w:r w:rsidR="005F02E0">
        <w:rPr>
          <w:rFonts w:ascii="Garamond" w:hAnsi="Garamond" w:cs="Times New Roman"/>
          <w:sz w:val="24"/>
        </w:rPr>
        <w:t>ts</w:t>
      </w:r>
      <w:r w:rsidRPr="0080742D">
        <w:rPr>
          <w:rFonts w:ascii="Garamond" w:hAnsi="Garamond" w:cs="Times New Roman"/>
          <w:sz w:val="24"/>
        </w:rPr>
        <w:t xml:space="preserve"> </w:t>
      </w:r>
      <w:r w:rsidR="00851971">
        <w:rPr>
          <w:rFonts w:ascii="Garamond" w:hAnsi="Garamond" w:cs="Times New Roman"/>
          <w:sz w:val="24"/>
        </w:rPr>
        <w:t>profesora Kārļa Dišlera tiesas procesa izspēles</w:t>
      </w:r>
      <w:r w:rsidR="009046C5" w:rsidRPr="0080742D">
        <w:rPr>
          <w:rFonts w:ascii="Garamond" w:hAnsi="Garamond" w:cs="Times New Roman"/>
          <w:sz w:val="24"/>
        </w:rPr>
        <w:t xml:space="preserve"> </w:t>
      </w:r>
      <w:r w:rsidRPr="0080742D">
        <w:rPr>
          <w:rFonts w:ascii="Garamond" w:hAnsi="Garamond" w:cs="Times New Roman"/>
          <w:sz w:val="24"/>
        </w:rPr>
        <w:t xml:space="preserve">interneta vietnē </w:t>
      </w:r>
      <w:hyperlink r:id="rId9" w:history="1">
        <w:r w:rsidR="00851971" w:rsidRPr="00EF27FB">
          <w:rPr>
            <w:rStyle w:val="Hyperlink"/>
            <w:rFonts w:ascii="Garamond" w:hAnsi="Garamond" w:cs="Times New Roman"/>
            <w:sz w:val="24"/>
          </w:rPr>
          <w:t>www.disleraizspele.lv</w:t>
        </w:r>
      </w:hyperlink>
      <w:r w:rsidR="00851971">
        <w:rPr>
          <w:rFonts w:ascii="Garamond" w:hAnsi="Garamond" w:cs="Times New Roman"/>
          <w:sz w:val="24"/>
        </w:rPr>
        <w:t xml:space="preserve"> un Facebook lapā: </w:t>
      </w:r>
      <w:hyperlink r:id="rId10" w:history="1">
        <w:r w:rsidR="005C6A6D" w:rsidRPr="00C45AF9">
          <w:rPr>
            <w:rStyle w:val="Hyperlink"/>
            <w:rFonts w:ascii="Garamond" w:hAnsi="Garamond" w:cs="Times New Roman"/>
            <w:b/>
            <w:sz w:val="24"/>
          </w:rPr>
          <w:t>www.facebook.com/disleraizspele</w:t>
        </w:r>
      </w:hyperlink>
      <w:r w:rsidR="005C6A6D" w:rsidRPr="005C6A6D">
        <w:rPr>
          <w:rFonts w:ascii="Garamond" w:hAnsi="Garamond" w:cs="Times New Roman"/>
          <w:b/>
          <w:sz w:val="24"/>
        </w:rPr>
        <w:t xml:space="preserve">. </w:t>
      </w:r>
      <w:r w:rsidR="005C6A6D" w:rsidRPr="005C6A6D">
        <w:rPr>
          <w:rFonts w:ascii="Garamond" w:hAnsi="Garamond" w:cs="Times New Roman"/>
          <w:bCs/>
          <w:sz w:val="24"/>
        </w:rPr>
        <w:t>Kāzusa teksts tiek publiskots</w:t>
      </w:r>
      <w:r w:rsidR="005F02E0">
        <w:rPr>
          <w:rFonts w:ascii="Garamond" w:hAnsi="Garamond" w:cs="Times New Roman"/>
          <w:sz w:val="24"/>
        </w:rPr>
        <w:t xml:space="preserve"> arī</w:t>
      </w:r>
      <w:r w:rsidR="005F02E0" w:rsidRPr="0080742D">
        <w:rPr>
          <w:rFonts w:ascii="Garamond" w:hAnsi="Garamond" w:cs="Times New Roman"/>
          <w:sz w:val="24"/>
        </w:rPr>
        <w:t xml:space="preserve"> </w:t>
      </w:r>
      <w:r w:rsidR="005F02E0">
        <w:rPr>
          <w:rFonts w:ascii="Garamond" w:hAnsi="Garamond" w:cs="Times New Roman"/>
          <w:sz w:val="24"/>
        </w:rPr>
        <w:t>ik</w:t>
      </w:r>
      <w:r w:rsidRPr="0080742D">
        <w:rPr>
          <w:rFonts w:ascii="Garamond" w:hAnsi="Garamond" w:cs="Times New Roman"/>
          <w:sz w:val="24"/>
        </w:rPr>
        <w:t>nedēļas</w:t>
      </w:r>
      <w:r w:rsidR="009046C5" w:rsidRPr="0080742D">
        <w:rPr>
          <w:rFonts w:ascii="Garamond" w:hAnsi="Garamond" w:cs="Times New Roman"/>
          <w:sz w:val="24"/>
        </w:rPr>
        <w:t xml:space="preserve"> </w:t>
      </w:r>
      <w:r w:rsidRPr="0080742D">
        <w:rPr>
          <w:rFonts w:ascii="Garamond" w:hAnsi="Garamond" w:cs="Times New Roman"/>
          <w:sz w:val="24"/>
        </w:rPr>
        <w:t>žurnāl</w:t>
      </w:r>
      <w:r w:rsidR="005C6A6D">
        <w:rPr>
          <w:rFonts w:ascii="Garamond" w:hAnsi="Garamond" w:cs="Times New Roman"/>
          <w:sz w:val="24"/>
        </w:rPr>
        <w:t>ā</w:t>
      </w:r>
      <w:r w:rsidRPr="0080742D">
        <w:rPr>
          <w:rFonts w:ascii="Garamond" w:hAnsi="Garamond" w:cs="Times New Roman"/>
          <w:sz w:val="24"/>
        </w:rPr>
        <w:t xml:space="preserve"> „Jurista </w:t>
      </w:r>
      <w:r w:rsidR="009046C5" w:rsidRPr="0080742D">
        <w:rPr>
          <w:rFonts w:ascii="Garamond" w:hAnsi="Garamond" w:cs="Times New Roman"/>
          <w:sz w:val="24"/>
        </w:rPr>
        <w:t>V</w:t>
      </w:r>
      <w:r w:rsidRPr="0080742D">
        <w:rPr>
          <w:rFonts w:ascii="Garamond" w:hAnsi="Garamond" w:cs="Times New Roman"/>
          <w:sz w:val="24"/>
        </w:rPr>
        <w:t>ārds”. Izspēles organizatori var publicēt kāzusa</w:t>
      </w:r>
      <w:r w:rsidR="009046C5" w:rsidRPr="0080742D">
        <w:rPr>
          <w:rFonts w:ascii="Garamond" w:hAnsi="Garamond" w:cs="Times New Roman"/>
          <w:sz w:val="24"/>
        </w:rPr>
        <w:t xml:space="preserve"> </w:t>
      </w:r>
      <w:r w:rsidRPr="0080742D">
        <w:rPr>
          <w:rFonts w:ascii="Garamond" w:hAnsi="Garamond" w:cs="Times New Roman"/>
          <w:sz w:val="24"/>
        </w:rPr>
        <w:t xml:space="preserve">tekstu un </w:t>
      </w:r>
      <w:r w:rsidR="008C424A">
        <w:rPr>
          <w:rFonts w:ascii="Garamond" w:hAnsi="Garamond" w:cs="Times New Roman"/>
          <w:sz w:val="24"/>
        </w:rPr>
        <w:t>I</w:t>
      </w:r>
      <w:r w:rsidRPr="0080742D">
        <w:rPr>
          <w:rFonts w:ascii="Garamond" w:hAnsi="Garamond" w:cs="Times New Roman"/>
          <w:sz w:val="24"/>
        </w:rPr>
        <w:t>zspēles nolikumu arī citos informatīvajos avotos</w:t>
      </w:r>
      <w:r w:rsidR="00533E3A">
        <w:rPr>
          <w:rFonts w:ascii="Garamond" w:hAnsi="Garamond" w:cs="Times New Roman"/>
          <w:sz w:val="24"/>
        </w:rPr>
        <w:t>.</w:t>
      </w:r>
    </w:p>
    <w:p w:rsidR="00851971" w:rsidRPr="0080742D" w:rsidRDefault="00851971" w:rsidP="00484DCA">
      <w:pPr>
        <w:pStyle w:val="Normal1"/>
        <w:widowControl w:val="0"/>
        <w:spacing w:line="360" w:lineRule="auto"/>
        <w:jc w:val="both"/>
        <w:rPr>
          <w:rFonts w:ascii="Garamond" w:hAnsi="Garamond" w:cs="Times New Roman"/>
        </w:rPr>
      </w:pPr>
    </w:p>
    <w:p w:rsidR="009046C5" w:rsidRPr="0080742D" w:rsidRDefault="00377635" w:rsidP="00C778C1">
      <w:pPr>
        <w:pStyle w:val="Heading2"/>
        <w:spacing w:before="0"/>
        <w:jc w:val="center"/>
      </w:pPr>
      <w:r w:rsidRPr="0080742D">
        <w:t>Precizējošie jautājumi</w:t>
      </w:r>
    </w:p>
    <w:p w:rsidR="006A4D54" w:rsidRDefault="00581D9D" w:rsidP="00484DCA">
      <w:pPr>
        <w:pStyle w:val="Normal1"/>
        <w:widowControl w:val="0"/>
        <w:spacing w:line="360" w:lineRule="auto"/>
        <w:jc w:val="both"/>
        <w:rPr>
          <w:rFonts w:ascii="Garamond" w:hAnsi="Garamond" w:cs="Times New Roman"/>
          <w:b/>
          <w:sz w:val="24"/>
        </w:rPr>
      </w:pPr>
      <w:r>
        <w:rPr>
          <w:rFonts w:ascii="Garamond" w:hAnsi="Garamond" w:cs="Times New Roman"/>
          <w:sz w:val="24"/>
        </w:rPr>
        <w:t>Katrai komandai, kas</w:t>
      </w:r>
      <w:r w:rsidR="00377635" w:rsidRPr="0080742D">
        <w:rPr>
          <w:rFonts w:ascii="Garamond" w:hAnsi="Garamond" w:cs="Times New Roman"/>
          <w:sz w:val="24"/>
        </w:rPr>
        <w:t xml:space="preserve"> plāno piedalīties </w:t>
      </w:r>
      <w:r w:rsidR="00533E3A">
        <w:rPr>
          <w:rFonts w:ascii="Garamond" w:hAnsi="Garamond" w:cs="Times New Roman"/>
          <w:sz w:val="24"/>
        </w:rPr>
        <w:t>I</w:t>
      </w:r>
      <w:r w:rsidR="00377635" w:rsidRPr="0080742D">
        <w:rPr>
          <w:rFonts w:ascii="Garamond" w:hAnsi="Garamond" w:cs="Times New Roman"/>
          <w:sz w:val="24"/>
        </w:rPr>
        <w:t>zspēlē, ir tiesības uzdot divus precizējošus jautājumus par</w:t>
      </w:r>
      <w:r w:rsidR="009046C5" w:rsidRPr="0080742D">
        <w:rPr>
          <w:rFonts w:ascii="Garamond" w:hAnsi="Garamond" w:cs="Times New Roman"/>
          <w:sz w:val="24"/>
        </w:rPr>
        <w:t xml:space="preserve"> </w:t>
      </w:r>
      <w:r w:rsidR="008C424A">
        <w:rPr>
          <w:rFonts w:ascii="Garamond" w:hAnsi="Garamond" w:cs="Times New Roman"/>
          <w:sz w:val="24"/>
        </w:rPr>
        <w:t>I</w:t>
      </w:r>
      <w:r w:rsidR="00377635" w:rsidRPr="0080742D">
        <w:rPr>
          <w:rFonts w:ascii="Garamond" w:hAnsi="Garamond" w:cs="Times New Roman"/>
          <w:sz w:val="24"/>
        </w:rPr>
        <w:t xml:space="preserve">zspēles kāzusu. Jautājumi jānosūta </w:t>
      </w:r>
      <w:r w:rsidR="008C424A">
        <w:rPr>
          <w:rFonts w:ascii="Garamond" w:hAnsi="Garamond" w:cs="Times New Roman"/>
          <w:sz w:val="24"/>
        </w:rPr>
        <w:t>I</w:t>
      </w:r>
      <w:r w:rsidR="00377635" w:rsidRPr="0080742D">
        <w:rPr>
          <w:rFonts w:ascii="Garamond" w:hAnsi="Garamond" w:cs="Times New Roman"/>
          <w:sz w:val="24"/>
        </w:rPr>
        <w:t xml:space="preserve">zspēles organizatoriem līdz </w:t>
      </w:r>
      <w:r w:rsidR="00377635" w:rsidRPr="00C778C1">
        <w:rPr>
          <w:rFonts w:ascii="Garamond" w:hAnsi="Garamond" w:cs="Times New Roman"/>
          <w:b/>
          <w:sz w:val="24"/>
        </w:rPr>
        <w:t>201</w:t>
      </w:r>
      <w:r w:rsidR="00851971">
        <w:rPr>
          <w:rFonts w:ascii="Garamond" w:hAnsi="Garamond" w:cs="Times New Roman"/>
          <w:b/>
          <w:sz w:val="24"/>
        </w:rPr>
        <w:t>9</w:t>
      </w:r>
      <w:r w:rsidR="00377635" w:rsidRPr="00C778C1">
        <w:rPr>
          <w:rFonts w:ascii="Garamond" w:hAnsi="Garamond" w:cs="Times New Roman"/>
          <w:b/>
          <w:sz w:val="24"/>
        </w:rPr>
        <w:t xml:space="preserve">. gada </w:t>
      </w:r>
      <w:r w:rsidR="006A4D54">
        <w:rPr>
          <w:rFonts w:ascii="Garamond" w:hAnsi="Garamond" w:cs="Times New Roman"/>
          <w:b/>
          <w:sz w:val="24"/>
        </w:rPr>
        <w:t>2</w:t>
      </w:r>
      <w:r w:rsidR="00167EBC">
        <w:rPr>
          <w:rFonts w:ascii="Garamond" w:hAnsi="Garamond" w:cs="Times New Roman"/>
          <w:b/>
          <w:sz w:val="24"/>
        </w:rPr>
        <w:t>7.</w:t>
      </w:r>
      <w:r w:rsidR="004F4518">
        <w:rPr>
          <w:rFonts w:ascii="Garamond" w:hAnsi="Garamond" w:cs="Times New Roman"/>
          <w:b/>
          <w:sz w:val="24"/>
        </w:rPr>
        <w:t xml:space="preserve"> </w:t>
      </w:r>
      <w:r w:rsidR="00533E3A" w:rsidRPr="00C778C1">
        <w:rPr>
          <w:rFonts w:ascii="Garamond" w:hAnsi="Garamond" w:cs="Times New Roman"/>
          <w:b/>
          <w:sz w:val="24"/>
        </w:rPr>
        <w:t xml:space="preserve">oktobra </w:t>
      </w:r>
      <w:r w:rsidR="00377635" w:rsidRPr="00C778C1">
        <w:rPr>
          <w:rFonts w:ascii="Garamond" w:hAnsi="Garamond" w:cs="Times New Roman"/>
          <w:b/>
          <w:sz w:val="24"/>
        </w:rPr>
        <w:t>pulksten</w:t>
      </w:r>
      <w:r w:rsidR="009046C5" w:rsidRPr="00C778C1">
        <w:rPr>
          <w:rFonts w:ascii="Garamond" w:hAnsi="Garamond" w:cs="Times New Roman"/>
          <w:b/>
          <w:sz w:val="24"/>
        </w:rPr>
        <w:t xml:space="preserve"> </w:t>
      </w:r>
      <w:r w:rsidR="00377635" w:rsidRPr="00C778C1">
        <w:rPr>
          <w:rFonts w:ascii="Garamond" w:hAnsi="Garamond" w:cs="Times New Roman"/>
          <w:b/>
          <w:sz w:val="24"/>
        </w:rPr>
        <w:t>23</w:t>
      </w:r>
      <w:r w:rsidR="00447ECB" w:rsidRPr="00C778C1">
        <w:rPr>
          <w:rFonts w:ascii="Garamond" w:hAnsi="Garamond" w:cs="Times New Roman"/>
          <w:b/>
          <w:sz w:val="24"/>
        </w:rPr>
        <w:t>:</w:t>
      </w:r>
      <w:r w:rsidR="00377635" w:rsidRPr="00C778C1">
        <w:rPr>
          <w:rFonts w:ascii="Garamond" w:hAnsi="Garamond" w:cs="Times New Roman"/>
          <w:b/>
          <w:sz w:val="24"/>
        </w:rPr>
        <w:t xml:space="preserve">59 </w:t>
      </w:r>
      <w:r w:rsidR="00377635" w:rsidRPr="00784751">
        <w:rPr>
          <w:rFonts w:ascii="Garamond" w:hAnsi="Garamond" w:cs="Times New Roman"/>
          <w:sz w:val="24"/>
        </w:rPr>
        <w:t xml:space="preserve">uz e-pasta adresi </w:t>
      </w:r>
      <w:r w:rsidR="006A4D54" w:rsidRPr="00167EBC">
        <w:rPr>
          <w:rFonts w:ascii="Garamond" w:hAnsi="Garamond" w:cs="Times New Roman"/>
          <w:b/>
          <w:bCs/>
          <w:sz w:val="24"/>
        </w:rPr>
        <w:t>disleraizspele</w:t>
      </w:r>
      <w:r w:rsidR="00377635" w:rsidRPr="00C778C1">
        <w:rPr>
          <w:rFonts w:ascii="Garamond" w:hAnsi="Garamond" w:cs="Times New Roman"/>
          <w:b/>
          <w:sz w:val="24"/>
        </w:rPr>
        <w:t>@gmail.com.</w:t>
      </w:r>
      <w:r w:rsidR="00377635" w:rsidRPr="00784751">
        <w:rPr>
          <w:rFonts w:ascii="Garamond" w:hAnsi="Garamond" w:cs="Times New Roman"/>
          <w:sz w:val="24"/>
        </w:rPr>
        <w:t xml:space="preserve"> </w:t>
      </w:r>
      <w:r w:rsidR="00167EBC">
        <w:rPr>
          <w:rFonts w:ascii="Garamond" w:hAnsi="Garamond" w:cs="Times New Roman"/>
          <w:sz w:val="24"/>
        </w:rPr>
        <w:t xml:space="preserve">Izspēles organizatori var nesniegt atbildes uz jautājumiem, uz kuriem atbildes komandas var noskaidrot pašas vai kam izspēles organizatoru ieskatā nav nozīmes kāzusa risinājumā. </w:t>
      </w:r>
      <w:r w:rsidR="00377635" w:rsidRPr="00784751">
        <w:rPr>
          <w:rFonts w:ascii="Garamond" w:hAnsi="Garamond" w:cs="Times New Roman"/>
          <w:sz w:val="24"/>
        </w:rPr>
        <w:t xml:space="preserve">Atbildes uz </w:t>
      </w:r>
      <w:r w:rsidR="00167EBC">
        <w:rPr>
          <w:rFonts w:ascii="Garamond" w:hAnsi="Garamond" w:cs="Times New Roman"/>
          <w:sz w:val="24"/>
        </w:rPr>
        <w:t xml:space="preserve">citiem </w:t>
      </w:r>
      <w:r w:rsidR="00377635" w:rsidRPr="00784751">
        <w:rPr>
          <w:rFonts w:ascii="Garamond" w:hAnsi="Garamond" w:cs="Times New Roman"/>
          <w:sz w:val="24"/>
        </w:rPr>
        <w:t xml:space="preserve">jautājumiem tiks publicētas </w:t>
      </w:r>
      <w:r w:rsidR="006A4D54">
        <w:rPr>
          <w:rFonts w:ascii="Garamond" w:hAnsi="Garamond" w:cs="Times New Roman"/>
          <w:sz w:val="24"/>
        </w:rPr>
        <w:t xml:space="preserve">K.Dišlera tiesas procesa izspēles </w:t>
      </w:r>
      <w:r w:rsidR="00533E3A">
        <w:rPr>
          <w:rFonts w:ascii="Garamond" w:hAnsi="Garamond" w:cs="Times New Roman"/>
          <w:sz w:val="24"/>
        </w:rPr>
        <w:t xml:space="preserve">interneta vietnē </w:t>
      </w:r>
      <w:r w:rsidR="006A4D54">
        <w:rPr>
          <w:rFonts w:ascii="Garamond" w:hAnsi="Garamond" w:cs="Times New Roman"/>
          <w:sz w:val="24"/>
        </w:rPr>
        <w:t xml:space="preserve">un Facebook lapā, kā </w:t>
      </w:r>
      <w:r w:rsidR="00DE4DDB">
        <w:rPr>
          <w:rFonts w:ascii="Garamond" w:hAnsi="Garamond" w:cs="Times New Roman"/>
          <w:sz w:val="24"/>
        </w:rPr>
        <w:t xml:space="preserve">arī </w:t>
      </w:r>
      <w:r w:rsidR="00533E3A">
        <w:rPr>
          <w:rFonts w:ascii="Garamond" w:hAnsi="Garamond" w:cs="Times New Roman"/>
          <w:sz w:val="24"/>
        </w:rPr>
        <w:t>nosūtītas komand</w:t>
      </w:r>
      <w:r w:rsidR="006A4D54">
        <w:rPr>
          <w:rFonts w:ascii="Garamond" w:hAnsi="Garamond" w:cs="Times New Roman"/>
          <w:sz w:val="24"/>
        </w:rPr>
        <w:t xml:space="preserve">as kapteinim </w:t>
      </w:r>
      <w:r w:rsidR="00533E3A">
        <w:rPr>
          <w:rFonts w:ascii="Garamond" w:hAnsi="Garamond" w:cs="Times New Roman"/>
          <w:sz w:val="24"/>
        </w:rPr>
        <w:t xml:space="preserve">līdz </w:t>
      </w:r>
      <w:r w:rsidR="00377635" w:rsidRPr="00C778C1">
        <w:rPr>
          <w:rFonts w:ascii="Garamond" w:hAnsi="Garamond" w:cs="Times New Roman"/>
          <w:b/>
          <w:sz w:val="24"/>
        </w:rPr>
        <w:lastRenderedPageBreak/>
        <w:t>20</w:t>
      </w:r>
      <w:r w:rsidR="000A5C69" w:rsidRPr="00C778C1">
        <w:rPr>
          <w:rFonts w:ascii="Garamond" w:hAnsi="Garamond" w:cs="Times New Roman"/>
          <w:b/>
          <w:sz w:val="24"/>
        </w:rPr>
        <w:t>1</w:t>
      </w:r>
      <w:r w:rsidR="006A4D54">
        <w:rPr>
          <w:rFonts w:ascii="Garamond" w:hAnsi="Garamond" w:cs="Times New Roman"/>
          <w:b/>
          <w:sz w:val="24"/>
        </w:rPr>
        <w:t>9</w:t>
      </w:r>
      <w:r w:rsidR="00377635" w:rsidRPr="00C778C1">
        <w:rPr>
          <w:rFonts w:ascii="Garamond" w:hAnsi="Garamond" w:cs="Times New Roman"/>
          <w:b/>
          <w:sz w:val="24"/>
        </w:rPr>
        <w:t>.</w:t>
      </w:r>
      <w:r>
        <w:rPr>
          <w:rFonts w:ascii="Garamond" w:hAnsi="Garamond" w:cs="Times New Roman"/>
          <w:b/>
          <w:sz w:val="24"/>
        </w:rPr>
        <w:t> </w:t>
      </w:r>
      <w:r w:rsidR="009046C5" w:rsidRPr="00C778C1">
        <w:rPr>
          <w:rFonts w:ascii="Garamond" w:hAnsi="Garamond" w:cs="Times New Roman"/>
          <w:b/>
          <w:sz w:val="24"/>
        </w:rPr>
        <w:t>g</w:t>
      </w:r>
      <w:r w:rsidR="00377635" w:rsidRPr="00C778C1">
        <w:rPr>
          <w:rFonts w:ascii="Garamond" w:hAnsi="Garamond" w:cs="Times New Roman"/>
          <w:b/>
          <w:sz w:val="24"/>
        </w:rPr>
        <w:t>ada</w:t>
      </w:r>
      <w:r w:rsidR="000A5C69" w:rsidRPr="00C778C1">
        <w:rPr>
          <w:rFonts w:ascii="Garamond" w:hAnsi="Garamond" w:cs="Times New Roman"/>
          <w:b/>
          <w:sz w:val="24"/>
        </w:rPr>
        <w:t xml:space="preserve"> </w:t>
      </w:r>
      <w:r w:rsidR="00167EBC">
        <w:rPr>
          <w:rFonts w:ascii="Garamond" w:hAnsi="Garamond" w:cs="Times New Roman"/>
          <w:b/>
          <w:sz w:val="24"/>
        </w:rPr>
        <w:t>1.</w:t>
      </w:r>
      <w:r w:rsidR="004F4518">
        <w:rPr>
          <w:rFonts w:ascii="Garamond" w:hAnsi="Garamond" w:cs="Times New Roman"/>
          <w:b/>
          <w:sz w:val="24"/>
        </w:rPr>
        <w:t xml:space="preserve"> </w:t>
      </w:r>
      <w:r w:rsidR="00167EBC">
        <w:rPr>
          <w:rFonts w:ascii="Garamond" w:hAnsi="Garamond" w:cs="Times New Roman"/>
          <w:b/>
          <w:sz w:val="24"/>
        </w:rPr>
        <w:t>novembrim</w:t>
      </w:r>
      <w:r w:rsidR="00533E3A" w:rsidRPr="00C778C1">
        <w:rPr>
          <w:rFonts w:ascii="Garamond" w:hAnsi="Garamond" w:cs="Times New Roman"/>
          <w:b/>
          <w:sz w:val="24"/>
        </w:rPr>
        <w:t>.</w:t>
      </w:r>
    </w:p>
    <w:p w:rsidR="00581D9D" w:rsidRDefault="00581D9D" w:rsidP="00484DCA">
      <w:pPr>
        <w:pStyle w:val="Normal1"/>
        <w:widowControl w:val="0"/>
        <w:spacing w:line="360" w:lineRule="auto"/>
        <w:jc w:val="both"/>
        <w:rPr>
          <w:rFonts w:ascii="Garamond" w:hAnsi="Garamond" w:cs="Times New Roman"/>
          <w:sz w:val="24"/>
        </w:rPr>
      </w:pPr>
    </w:p>
    <w:p w:rsidR="00040B8D" w:rsidRDefault="00377635" w:rsidP="00C778C1">
      <w:pPr>
        <w:pStyle w:val="Heading1"/>
        <w:spacing w:before="0" w:after="0"/>
      </w:pPr>
      <w:r w:rsidRPr="00040B8D">
        <w:t>Izspēles</w:t>
      </w:r>
      <w:r w:rsidRPr="0080742D">
        <w:t xml:space="preserve"> rakstiskā daļa</w:t>
      </w:r>
    </w:p>
    <w:p w:rsidR="006A4D54" w:rsidRPr="006A4D54" w:rsidRDefault="006A4D54" w:rsidP="00167EBC">
      <w:pPr>
        <w:pStyle w:val="Normal1"/>
      </w:pPr>
    </w:p>
    <w:p w:rsidR="009046C5" w:rsidRPr="0080742D" w:rsidRDefault="00377635" w:rsidP="00C778C1">
      <w:pPr>
        <w:pStyle w:val="Heading2"/>
        <w:spacing w:before="0"/>
        <w:jc w:val="center"/>
      </w:pPr>
      <w:r w:rsidRPr="0080742D">
        <w:t>Kāzusa analīze</w:t>
      </w:r>
    </w:p>
    <w:p w:rsidR="00E3082D" w:rsidRDefault="00377635" w:rsidP="00484DCA">
      <w:pPr>
        <w:pStyle w:val="Normal1"/>
        <w:widowControl w:val="0"/>
        <w:spacing w:line="360" w:lineRule="auto"/>
        <w:jc w:val="both"/>
        <w:rPr>
          <w:rFonts w:ascii="Garamond" w:hAnsi="Garamond" w:cs="Times New Roman"/>
          <w:sz w:val="24"/>
        </w:rPr>
      </w:pPr>
      <w:r w:rsidRPr="0080742D">
        <w:rPr>
          <w:rFonts w:ascii="Garamond" w:hAnsi="Garamond" w:cs="Times New Roman"/>
          <w:sz w:val="24"/>
        </w:rPr>
        <w:t xml:space="preserve">Katra komanda sagatavo </w:t>
      </w:r>
      <w:r w:rsidR="006A4D54">
        <w:rPr>
          <w:rFonts w:ascii="Garamond" w:hAnsi="Garamond" w:cs="Times New Roman"/>
          <w:sz w:val="24"/>
        </w:rPr>
        <w:t>pieteikumu</w:t>
      </w:r>
      <w:r w:rsidR="000A5C69">
        <w:rPr>
          <w:rFonts w:ascii="Garamond" w:hAnsi="Garamond" w:cs="Times New Roman"/>
          <w:sz w:val="24"/>
        </w:rPr>
        <w:t xml:space="preserve"> un </w:t>
      </w:r>
      <w:r w:rsidRPr="0080742D">
        <w:rPr>
          <w:rFonts w:ascii="Garamond" w:hAnsi="Garamond" w:cs="Times New Roman"/>
          <w:sz w:val="24"/>
        </w:rPr>
        <w:t>institūcijas, kas</w:t>
      </w:r>
      <w:r w:rsidR="009046C5" w:rsidRPr="0080742D">
        <w:rPr>
          <w:rFonts w:ascii="Garamond" w:hAnsi="Garamond" w:cs="Times New Roman"/>
          <w:sz w:val="24"/>
        </w:rPr>
        <w:t xml:space="preserve"> </w:t>
      </w:r>
      <w:r w:rsidRPr="0080742D">
        <w:rPr>
          <w:rFonts w:ascii="Garamond" w:hAnsi="Garamond" w:cs="Times New Roman"/>
          <w:sz w:val="24"/>
        </w:rPr>
        <w:t xml:space="preserve">izdevusi apstrīdēto </w:t>
      </w:r>
      <w:r w:rsidR="00DC3564">
        <w:rPr>
          <w:rFonts w:ascii="Garamond" w:hAnsi="Garamond" w:cs="Times New Roman"/>
          <w:sz w:val="24"/>
        </w:rPr>
        <w:t xml:space="preserve">tiesību </w:t>
      </w:r>
      <w:r w:rsidRPr="0080742D">
        <w:rPr>
          <w:rFonts w:ascii="Garamond" w:hAnsi="Garamond" w:cs="Times New Roman"/>
          <w:sz w:val="24"/>
        </w:rPr>
        <w:t>aktu</w:t>
      </w:r>
      <w:r w:rsidR="00DC3564">
        <w:rPr>
          <w:rFonts w:ascii="Garamond" w:hAnsi="Garamond" w:cs="Times New Roman"/>
          <w:sz w:val="24"/>
        </w:rPr>
        <w:t>/normu</w:t>
      </w:r>
      <w:r w:rsidRPr="0080742D">
        <w:rPr>
          <w:rFonts w:ascii="Garamond" w:hAnsi="Garamond" w:cs="Times New Roman"/>
          <w:sz w:val="24"/>
        </w:rPr>
        <w:t>,</w:t>
      </w:r>
      <w:r w:rsidR="000A5C69">
        <w:rPr>
          <w:rFonts w:ascii="Garamond" w:hAnsi="Garamond" w:cs="Times New Roman"/>
          <w:sz w:val="24"/>
        </w:rPr>
        <w:t xml:space="preserve"> atbildes rakstu</w:t>
      </w:r>
      <w:r w:rsidRPr="0080742D">
        <w:rPr>
          <w:rFonts w:ascii="Garamond" w:hAnsi="Garamond" w:cs="Times New Roman"/>
          <w:sz w:val="24"/>
        </w:rPr>
        <w:t xml:space="preserve">. Nolikuma </w:t>
      </w:r>
      <w:r w:rsidR="00DF6804" w:rsidRPr="00C778C1">
        <w:rPr>
          <w:rFonts w:ascii="Garamond" w:hAnsi="Garamond" w:cs="Times New Roman"/>
          <w:b/>
          <w:sz w:val="24"/>
        </w:rPr>
        <w:fldChar w:fldCharType="begin"/>
      </w:r>
      <w:r w:rsidR="00DF6804" w:rsidRPr="00C778C1">
        <w:rPr>
          <w:rFonts w:ascii="Garamond" w:hAnsi="Garamond" w:cs="Times New Roman"/>
          <w:b/>
          <w:sz w:val="24"/>
        </w:rPr>
        <w:instrText xml:space="preserve"> REF _Ref397521084 \n \h </w:instrText>
      </w:r>
      <w:r w:rsidR="005929E8" w:rsidRPr="00C778C1">
        <w:rPr>
          <w:rFonts w:ascii="Garamond" w:hAnsi="Garamond" w:cs="Times New Roman"/>
          <w:b/>
          <w:sz w:val="24"/>
        </w:rPr>
        <w:instrText xml:space="preserve"> \* MERGEFORMAT </w:instrText>
      </w:r>
      <w:r w:rsidR="00DF6804" w:rsidRPr="00C778C1">
        <w:rPr>
          <w:rFonts w:ascii="Garamond" w:hAnsi="Garamond" w:cs="Times New Roman"/>
          <w:b/>
          <w:sz w:val="24"/>
        </w:rPr>
      </w:r>
      <w:r w:rsidR="00DF6804" w:rsidRPr="00C778C1">
        <w:rPr>
          <w:rFonts w:ascii="Garamond" w:hAnsi="Garamond" w:cs="Times New Roman"/>
          <w:b/>
          <w:sz w:val="24"/>
        </w:rPr>
        <w:fldChar w:fldCharType="separate"/>
      </w:r>
      <w:r w:rsidR="00CA4A34" w:rsidRPr="00C778C1">
        <w:rPr>
          <w:rFonts w:ascii="Garamond" w:hAnsi="Garamond" w:cs="Times New Roman"/>
          <w:b/>
          <w:sz w:val="24"/>
        </w:rPr>
        <w:t>11.3</w:t>
      </w:r>
      <w:r w:rsidR="00DF6804" w:rsidRPr="00C778C1">
        <w:rPr>
          <w:rFonts w:ascii="Garamond" w:hAnsi="Garamond" w:cs="Times New Roman"/>
          <w:b/>
          <w:sz w:val="24"/>
        </w:rPr>
        <w:fldChar w:fldCharType="end"/>
      </w:r>
      <w:r w:rsidRPr="00C778C1">
        <w:rPr>
          <w:rFonts w:ascii="Garamond" w:hAnsi="Garamond" w:cs="Times New Roman"/>
          <w:b/>
          <w:sz w:val="24"/>
        </w:rPr>
        <w:t>.</w:t>
      </w:r>
      <w:r w:rsidRPr="0080742D">
        <w:rPr>
          <w:rFonts w:ascii="Garamond" w:hAnsi="Garamond" w:cs="Times New Roman"/>
          <w:sz w:val="24"/>
        </w:rPr>
        <w:t xml:space="preserve"> punkta noteikumi par kāzusa analīzes apjomu</w:t>
      </w:r>
      <w:r w:rsidR="009046C5" w:rsidRPr="0080742D">
        <w:rPr>
          <w:rFonts w:ascii="Garamond" w:hAnsi="Garamond" w:cs="Times New Roman"/>
          <w:sz w:val="24"/>
        </w:rPr>
        <w:t xml:space="preserve"> </w:t>
      </w:r>
      <w:r w:rsidRPr="0080742D">
        <w:rPr>
          <w:rFonts w:ascii="Garamond" w:hAnsi="Garamond" w:cs="Times New Roman"/>
          <w:sz w:val="24"/>
        </w:rPr>
        <w:t>attiecas uz pieteicēja un institūcijas</w:t>
      </w:r>
      <w:r w:rsidR="00581D9D">
        <w:rPr>
          <w:rFonts w:ascii="Garamond" w:hAnsi="Garamond" w:cs="Times New Roman"/>
          <w:sz w:val="24"/>
        </w:rPr>
        <w:t>, kas izdevusi apstrīdēto tiesību aktu,</w:t>
      </w:r>
      <w:r w:rsidRPr="0080742D">
        <w:rPr>
          <w:rFonts w:ascii="Garamond" w:hAnsi="Garamond" w:cs="Times New Roman"/>
          <w:sz w:val="24"/>
        </w:rPr>
        <w:t xml:space="preserve"> argumentāciju atsevišķi.</w:t>
      </w:r>
    </w:p>
    <w:p w:rsidR="006A4D54" w:rsidRPr="0080742D" w:rsidRDefault="006A4D54" w:rsidP="00484DCA">
      <w:pPr>
        <w:pStyle w:val="Normal1"/>
        <w:widowControl w:val="0"/>
        <w:spacing w:line="360" w:lineRule="auto"/>
        <w:jc w:val="both"/>
        <w:rPr>
          <w:rFonts w:ascii="Garamond" w:hAnsi="Garamond" w:cs="Times New Roman"/>
        </w:rPr>
      </w:pPr>
    </w:p>
    <w:p w:rsidR="009046C5" w:rsidRPr="0080742D" w:rsidRDefault="00377635" w:rsidP="00C778C1">
      <w:pPr>
        <w:pStyle w:val="Heading2"/>
        <w:spacing w:before="0"/>
        <w:jc w:val="center"/>
      </w:pPr>
      <w:bookmarkStart w:id="2" w:name="_Ref397521478"/>
      <w:r w:rsidRPr="0080742D">
        <w:t>Kāzusa analīzes forma un saturs</w:t>
      </w:r>
      <w:bookmarkEnd w:id="2"/>
    </w:p>
    <w:p w:rsidR="00167EBC" w:rsidRPr="0080742D" w:rsidRDefault="00377635" w:rsidP="00167EBC">
      <w:pPr>
        <w:pStyle w:val="NoSpacing"/>
      </w:pPr>
      <w:r w:rsidRPr="0080742D">
        <w:t>Kāzusa analīzi raksta gramatiski un stilistiski pareizā latviešu valodā</w:t>
      </w:r>
      <w:r w:rsidR="00533E3A">
        <w:t xml:space="preserve">, ievērojot latviešu literārās valodas normas. </w:t>
      </w:r>
      <w:r w:rsidRPr="0080742D">
        <w:t>Atsauces noformē</w:t>
      </w:r>
      <w:r w:rsidR="009046C5" w:rsidRPr="0080742D">
        <w:t xml:space="preserve"> </w:t>
      </w:r>
      <w:r w:rsidRPr="0080742D">
        <w:t>oriģinālvalodā</w:t>
      </w:r>
      <w:r w:rsidR="00533E3A">
        <w:t xml:space="preserve">, ievērojot </w:t>
      </w:r>
      <w:r w:rsidR="00BD64DC">
        <w:t>žurnālā “Jurista Vārds” publicēto rakstu atsauču noformēšanas paraugu</w:t>
      </w:r>
      <w:r w:rsidR="00F74CAB">
        <w:t xml:space="preserve"> (skatīt</w:t>
      </w:r>
      <w:r w:rsidR="00167EBC">
        <w:rPr>
          <w:rStyle w:val="Hyperlink"/>
          <w:color w:val="auto"/>
          <w:u w:val="none"/>
        </w:rPr>
        <w:t xml:space="preserve">: </w:t>
      </w:r>
      <w:hyperlink r:id="rId11" w:history="1">
        <w:r w:rsidR="00167EBC" w:rsidRPr="00C45AF9">
          <w:rPr>
            <w:rStyle w:val="Hyperlink"/>
          </w:rPr>
          <w:t>https://juristavards.lv/jv_atsauces.pdf</w:t>
        </w:r>
      </w:hyperlink>
      <w:r w:rsidR="00167EBC">
        <w:t>).</w:t>
      </w:r>
    </w:p>
    <w:p w:rsidR="00EB5922" w:rsidRDefault="00377635" w:rsidP="000B7101">
      <w:pPr>
        <w:pStyle w:val="NoSpacing"/>
      </w:pPr>
      <w:r w:rsidRPr="0080742D">
        <w:t>Kāzusa analīzē jābūt šādām sadaļām:</w:t>
      </w:r>
    </w:p>
    <w:p w:rsidR="00E3082D" w:rsidRPr="00EB5922" w:rsidRDefault="00377635" w:rsidP="00F74CAB">
      <w:pPr>
        <w:pStyle w:val="NoSpacing"/>
        <w:numPr>
          <w:ilvl w:val="3"/>
          <w:numId w:val="3"/>
        </w:numPr>
        <w:ind w:firstLine="567"/>
      </w:pPr>
      <w:r w:rsidRPr="00EB5922">
        <w:t>titullapa;</w:t>
      </w:r>
    </w:p>
    <w:p w:rsidR="00E3082D" w:rsidRPr="0080742D" w:rsidRDefault="00377635" w:rsidP="00F74CAB">
      <w:pPr>
        <w:pStyle w:val="NoSpacing"/>
        <w:numPr>
          <w:ilvl w:val="3"/>
          <w:numId w:val="3"/>
        </w:numPr>
        <w:ind w:firstLine="567"/>
      </w:pPr>
      <w:r w:rsidRPr="0080742D">
        <w:t>satura rādītājs;</w:t>
      </w:r>
    </w:p>
    <w:p w:rsidR="00E3082D" w:rsidRPr="0080742D" w:rsidRDefault="00377635" w:rsidP="00F74CAB">
      <w:pPr>
        <w:pStyle w:val="NoSpacing"/>
        <w:numPr>
          <w:ilvl w:val="3"/>
          <w:numId w:val="3"/>
        </w:numPr>
        <w:ind w:firstLine="567"/>
      </w:pPr>
      <w:r w:rsidRPr="0080742D">
        <w:t>kāzusa atrisināšanai būtisko faktu izklāsts;</w:t>
      </w:r>
    </w:p>
    <w:p w:rsidR="00E3082D" w:rsidRPr="0080742D" w:rsidRDefault="00377635" w:rsidP="00F74CAB">
      <w:pPr>
        <w:pStyle w:val="NoSpacing"/>
        <w:numPr>
          <w:ilvl w:val="3"/>
          <w:numId w:val="3"/>
        </w:numPr>
        <w:ind w:firstLine="567"/>
      </w:pPr>
      <w:r w:rsidRPr="0080742D">
        <w:t>kāzusa analīzes kopsavilkums;</w:t>
      </w:r>
    </w:p>
    <w:p w:rsidR="00E3082D" w:rsidRDefault="00377635" w:rsidP="00F74CAB">
      <w:pPr>
        <w:pStyle w:val="NoSpacing"/>
        <w:numPr>
          <w:ilvl w:val="3"/>
          <w:numId w:val="3"/>
        </w:numPr>
        <w:ind w:firstLine="567"/>
      </w:pPr>
      <w:r w:rsidRPr="0080742D">
        <w:t>kāzusa analīzes argumentācija;</w:t>
      </w:r>
    </w:p>
    <w:p w:rsidR="00F74CAB" w:rsidRPr="0080742D" w:rsidRDefault="00F74CAB" w:rsidP="00F74CAB">
      <w:pPr>
        <w:pStyle w:val="NoSpacing"/>
        <w:numPr>
          <w:ilvl w:val="3"/>
          <w:numId w:val="3"/>
        </w:numPr>
        <w:ind w:firstLine="567"/>
      </w:pPr>
      <w:r>
        <w:t>lūgums Satversmes tiesai;</w:t>
      </w:r>
    </w:p>
    <w:p w:rsidR="00E3082D" w:rsidRPr="0080742D" w:rsidRDefault="00377635" w:rsidP="00F74CAB">
      <w:pPr>
        <w:pStyle w:val="NoSpacing"/>
        <w:numPr>
          <w:ilvl w:val="3"/>
          <w:numId w:val="3"/>
        </w:numPr>
        <w:ind w:firstLine="567"/>
      </w:pPr>
      <w:r w:rsidRPr="0080742D">
        <w:t>normatīvo aktu un izmantotās literatūras saraksts.</w:t>
      </w:r>
    </w:p>
    <w:p w:rsidR="00E3082D" w:rsidRPr="0080742D" w:rsidRDefault="00377635" w:rsidP="00533E3A">
      <w:pPr>
        <w:pStyle w:val="NoSpacing"/>
      </w:pPr>
      <w:bookmarkStart w:id="3" w:name="_Ref397521084"/>
      <w:r w:rsidRPr="0080742D">
        <w:t>Kāzusa analīzes katras pozīcij</w:t>
      </w:r>
      <w:r w:rsidR="000A5C69">
        <w:t xml:space="preserve">as kopējais </w:t>
      </w:r>
      <w:r w:rsidR="00DE4DDB">
        <w:t>apjoms nepārsniedz 25</w:t>
      </w:r>
      <w:r w:rsidRPr="0080742D">
        <w:t xml:space="preserve"> lappuses (neskaitot darba</w:t>
      </w:r>
      <w:r w:rsidR="009046C5" w:rsidRPr="0080742D">
        <w:t xml:space="preserve"> </w:t>
      </w:r>
      <w:r w:rsidRPr="0080742D">
        <w:t>titullapu, satura rādītāju un normatīvo aktu un izmantotās literatūras sarakstu).</w:t>
      </w:r>
      <w:bookmarkEnd w:id="3"/>
      <w:r w:rsidR="00F74CAB">
        <w:t xml:space="preserve"> Par katras pozīcijas kopējā apjoma pārsniegšanu Izspēles organizatori var komandai piemērot soda punktus.</w:t>
      </w:r>
    </w:p>
    <w:p w:rsidR="00E3082D" w:rsidRPr="0080742D" w:rsidRDefault="00377635" w:rsidP="00533E3A">
      <w:pPr>
        <w:pStyle w:val="NoSpacing"/>
      </w:pPr>
      <w:r w:rsidRPr="0080742D">
        <w:t>Kāzusa analīzi noformē uz A4 izmēra lapām, ievērojot šādus noteikumus:</w:t>
      </w:r>
    </w:p>
    <w:p w:rsidR="00E3082D" w:rsidRPr="0080742D" w:rsidRDefault="00377635" w:rsidP="00F74CAB">
      <w:pPr>
        <w:pStyle w:val="NoSpacing"/>
        <w:numPr>
          <w:ilvl w:val="3"/>
          <w:numId w:val="3"/>
        </w:numPr>
        <w:ind w:firstLine="567"/>
      </w:pPr>
      <w:r w:rsidRPr="0080742D">
        <w:t xml:space="preserve">atstarpe starp rindām </w:t>
      </w:r>
      <w:r w:rsidR="001E2156">
        <w:t>–</w:t>
      </w:r>
      <w:r w:rsidRPr="0080742D">
        <w:t xml:space="preserve"> 1,5;</w:t>
      </w:r>
    </w:p>
    <w:p w:rsidR="00E3082D" w:rsidRPr="0080742D" w:rsidRDefault="00377635" w:rsidP="00581D9D">
      <w:pPr>
        <w:pStyle w:val="NoSpacing"/>
        <w:numPr>
          <w:ilvl w:val="3"/>
          <w:numId w:val="3"/>
        </w:numPr>
        <w:ind w:left="1418"/>
      </w:pPr>
      <w:r w:rsidRPr="0080742D">
        <w:t xml:space="preserve">teksta attālums no lapas malām </w:t>
      </w:r>
      <w:r w:rsidR="001E2156">
        <w:t>–</w:t>
      </w:r>
      <w:r w:rsidRPr="0080742D">
        <w:t xml:space="preserve"> 2 cm</w:t>
      </w:r>
      <w:r w:rsidR="00F74CAB">
        <w:t xml:space="preserve"> (augšējā mala un apakšējā mala); 3 cm (kreisā mala); 1 cm (labā mala);</w:t>
      </w:r>
    </w:p>
    <w:p w:rsidR="00E3082D" w:rsidRPr="0080742D" w:rsidRDefault="00377635" w:rsidP="00F74CAB">
      <w:pPr>
        <w:pStyle w:val="NoSpacing"/>
        <w:numPr>
          <w:ilvl w:val="3"/>
          <w:numId w:val="3"/>
        </w:numPr>
        <w:ind w:firstLine="567"/>
      </w:pPr>
      <w:r w:rsidRPr="0080742D">
        <w:t xml:space="preserve">teksta fonts </w:t>
      </w:r>
      <w:r w:rsidR="001E2156">
        <w:t>–</w:t>
      </w:r>
      <w:r w:rsidRPr="0080742D">
        <w:t xml:space="preserve"> </w:t>
      </w:r>
      <w:r w:rsidRPr="00C778C1">
        <w:rPr>
          <w:i/>
        </w:rPr>
        <w:t>Times New Roman</w:t>
      </w:r>
      <w:r w:rsidRPr="0080742D">
        <w:t>, burtu izmērs 12 punkti;</w:t>
      </w:r>
    </w:p>
    <w:p w:rsidR="00E3082D" w:rsidRPr="0080742D" w:rsidRDefault="00377635" w:rsidP="00F74CAB">
      <w:pPr>
        <w:pStyle w:val="NoSpacing"/>
        <w:numPr>
          <w:ilvl w:val="3"/>
          <w:numId w:val="3"/>
        </w:numPr>
        <w:ind w:firstLine="567"/>
      </w:pPr>
      <w:r w:rsidRPr="0080742D">
        <w:t>nav pieļaujama rakstu zīmju saspiešanas vai izplešanas opciju izmantošana;</w:t>
      </w:r>
    </w:p>
    <w:p w:rsidR="00E3082D" w:rsidRPr="0080742D" w:rsidRDefault="00377635" w:rsidP="00F74CAB">
      <w:pPr>
        <w:pStyle w:val="NoSpacing"/>
        <w:numPr>
          <w:ilvl w:val="3"/>
          <w:numId w:val="3"/>
        </w:numPr>
        <w:ind w:firstLine="567"/>
      </w:pPr>
      <w:r w:rsidRPr="0080742D">
        <w:t xml:space="preserve">rakstu zīmju izmērs atsaucēs </w:t>
      </w:r>
      <w:r w:rsidR="001E2156">
        <w:t>–</w:t>
      </w:r>
      <w:r w:rsidRPr="0080742D">
        <w:t xml:space="preserve"> 10 punkti</w:t>
      </w:r>
      <w:r w:rsidR="00F74CAB">
        <w:t>, ievērojot rindstarpu 1.</w:t>
      </w:r>
    </w:p>
    <w:p w:rsidR="00C14919" w:rsidRDefault="00377635" w:rsidP="00D87F24">
      <w:pPr>
        <w:pStyle w:val="NoSpacing"/>
        <w:rPr>
          <w:rFonts w:cs="Times New Roman"/>
        </w:rPr>
      </w:pPr>
      <w:r w:rsidRPr="0080742D">
        <w:t>Kāzusa analīzes titullapā norāda vienīgi argumentācijas pozīciju un komandas devīzi. Nedz</w:t>
      </w:r>
      <w:r w:rsidR="00DF6804">
        <w:t xml:space="preserve"> </w:t>
      </w:r>
      <w:r w:rsidRPr="00DF6804">
        <w:rPr>
          <w:rFonts w:cs="Times New Roman"/>
        </w:rPr>
        <w:lastRenderedPageBreak/>
        <w:t>titullapā, nedz citur kāzusa analīzē neiekļauj norādes, kas jebkādā veidā ļauj identificēt tā</w:t>
      </w:r>
      <w:r w:rsidR="00F74CAB">
        <w:rPr>
          <w:rFonts w:cs="Times New Roman"/>
        </w:rPr>
        <w:t>s</w:t>
      </w:r>
      <w:r w:rsidRPr="00DF6804">
        <w:rPr>
          <w:rFonts w:cs="Times New Roman"/>
        </w:rPr>
        <w:t xml:space="preserve"> autorus.</w:t>
      </w:r>
      <w:r w:rsidR="009046C5" w:rsidRPr="00DF6804">
        <w:rPr>
          <w:rFonts w:cs="Times New Roman"/>
        </w:rPr>
        <w:t xml:space="preserve"> </w:t>
      </w:r>
    </w:p>
    <w:p w:rsidR="006A4D54" w:rsidRDefault="00C14919" w:rsidP="00D87F24">
      <w:pPr>
        <w:pStyle w:val="NoSpacing"/>
        <w:rPr>
          <w:rFonts w:cs="Times New Roman"/>
        </w:rPr>
      </w:pPr>
      <w:r>
        <w:rPr>
          <w:rFonts w:cs="Times New Roman"/>
        </w:rPr>
        <w:t xml:space="preserve">Gadījumā, ja komanda pārkāpj </w:t>
      </w:r>
      <w:r>
        <w:rPr>
          <w:rFonts w:cs="Times New Roman"/>
          <w:b/>
          <w:bCs/>
        </w:rPr>
        <w:t>11.5.</w:t>
      </w:r>
      <w:r>
        <w:rPr>
          <w:rFonts w:cs="Times New Roman"/>
        </w:rPr>
        <w:t xml:space="preserve"> noteikto ierobežojumu, organizatoru komanda ir tiesīga komandai piemērot </w:t>
      </w:r>
      <w:r w:rsidR="00DE4DDB">
        <w:rPr>
          <w:rFonts w:cs="Times New Roman"/>
        </w:rPr>
        <w:t xml:space="preserve">soda </w:t>
      </w:r>
      <w:r w:rsidR="00581D9D">
        <w:rPr>
          <w:rFonts w:cs="Times New Roman"/>
        </w:rPr>
        <w:t>punktus. Īpaši</w:t>
      </w:r>
      <w:r w:rsidR="00DE4DDB">
        <w:rPr>
          <w:rFonts w:cs="Times New Roman"/>
        </w:rPr>
        <w:t xml:space="preserve"> rupja pārkāpuma gadījumā </w:t>
      </w:r>
      <w:r w:rsidR="00581D9D">
        <w:rPr>
          <w:rFonts w:cs="Times New Roman"/>
        </w:rPr>
        <w:t>izspēles organizatori var lemt par komandas diskvalifikāciju.</w:t>
      </w:r>
    </w:p>
    <w:p w:rsidR="008116B6" w:rsidRPr="00167EBC" w:rsidRDefault="008116B6" w:rsidP="008116B6">
      <w:pPr>
        <w:pStyle w:val="NoSpacing"/>
        <w:numPr>
          <w:ilvl w:val="0"/>
          <w:numId w:val="0"/>
        </w:numPr>
        <w:rPr>
          <w:rFonts w:cs="Times New Roman"/>
        </w:rPr>
      </w:pPr>
    </w:p>
    <w:p w:rsidR="009046C5" w:rsidRPr="0080742D" w:rsidRDefault="00377635" w:rsidP="00C778C1">
      <w:pPr>
        <w:pStyle w:val="Heading2"/>
        <w:spacing w:before="0"/>
        <w:jc w:val="center"/>
      </w:pPr>
      <w:r w:rsidRPr="0080742D">
        <w:t>Kāzusa analīzes nosūtīšana</w:t>
      </w:r>
    </w:p>
    <w:p w:rsidR="00E3082D" w:rsidRPr="0080742D" w:rsidRDefault="00377635" w:rsidP="00484DCA">
      <w:pPr>
        <w:pStyle w:val="NoSpacing"/>
      </w:pPr>
      <w:bookmarkStart w:id="4" w:name="_Ref397520940"/>
      <w:r w:rsidRPr="0080742D">
        <w:t xml:space="preserve">Kāzusa analīze </w:t>
      </w:r>
      <w:r w:rsidR="001E2156">
        <w:t>–</w:t>
      </w:r>
      <w:r w:rsidRPr="0080742D">
        <w:t xml:space="preserve"> gan pietei</w:t>
      </w:r>
      <w:r w:rsidR="002216B0">
        <w:t>kuma iesniedzēja</w:t>
      </w:r>
      <w:r w:rsidRPr="0080742D">
        <w:t>, gan institūcijas</w:t>
      </w:r>
      <w:r w:rsidR="00DC3564">
        <w:t>,</w:t>
      </w:r>
      <w:r w:rsidRPr="0080742D">
        <w:t xml:space="preserve"> </w:t>
      </w:r>
      <w:r w:rsidR="00DC3564" w:rsidRPr="0080742D">
        <w:rPr>
          <w:rFonts w:cs="Times New Roman"/>
        </w:rPr>
        <w:t xml:space="preserve">kas izdevusi apstrīdēto </w:t>
      </w:r>
      <w:r w:rsidR="00DC3564">
        <w:rPr>
          <w:rFonts w:cs="Times New Roman"/>
        </w:rPr>
        <w:t xml:space="preserve">tiesību </w:t>
      </w:r>
      <w:r w:rsidR="00DC3564" w:rsidRPr="0080742D">
        <w:rPr>
          <w:rFonts w:cs="Times New Roman"/>
        </w:rPr>
        <w:t>aktu</w:t>
      </w:r>
      <w:r w:rsidR="00DC3564">
        <w:rPr>
          <w:rFonts w:cs="Times New Roman"/>
        </w:rPr>
        <w:t>/normu</w:t>
      </w:r>
      <w:r w:rsidRPr="0080742D">
        <w:t xml:space="preserve">, argumentācija </w:t>
      </w:r>
      <w:r w:rsidR="001E2156">
        <w:t>–</w:t>
      </w:r>
      <w:r w:rsidRPr="0080742D">
        <w:t xml:space="preserve"> jānosūta Izspēles organizētājiem līdz </w:t>
      </w:r>
      <w:r w:rsidRPr="00C778C1">
        <w:rPr>
          <w:b/>
        </w:rPr>
        <w:t>201</w:t>
      </w:r>
      <w:r w:rsidR="002216B0">
        <w:rPr>
          <w:b/>
        </w:rPr>
        <w:t>9</w:t>
      </w:r>
      <w:r w:rsidR="000A5C69" w:rsidRPr="00C778C1">
        <w:rPr>
          <w:b/>
        </w:rPr>
        <w:t xml:space="preserve">.gada </w:t>
      </w:r>
      <w:r w:rsidR="00D07189">
        <w:rPr>
          <w:b/>
        </w:rPr>
        <w:t>3</w:t>
      </w:r>
      <w:r w:rsidR="00F74CAB" w:rsidRPr="00C778C1">
        <w:rPr>
          <w:b/>
        </w:rPr>
        <w:t>.</w:t>
      </w:r>
      <w:r w:rsidR="000A5C69" w:rsidRPr="00C778C1">
        <w:rPr>
          <w:b/>
        </w:rPr>
        <w:t>novembr</w:t>
      </w:r>
      <w:r w:rsidR="00F74CAB" w:rsidRPr="00C778C1">
        <w:rPr>
          <w:b/>
        </w:rPr>
        <w:t>a</w:t>
      </w:r>
      <w:r w:rsidR="009046C5" w:rsidRPr="00C778C1">
        <w:rPr>
          <w:b/>
        </w:rPr>
        <w:t xml:space="preserve"> </w:t>
      </w:r>
      <w:r w:rsidRPr="00C778C1">
        <w:rPr>
          <w:b/>
        </w:rPr>
        <w:t>plkst.</w:t>
      </w:r>
      <w:r w:rsidR="002216B0">
        <w:rPr>
          <w:b/>
        </w:rPr>
        <w:t> </w:t>
      </w:r>
      <w:r w:rsidRPr="00C778C1">
        <w:rPr>
          <w:b/>
        </w:rPr>
        <w:t>23:59</w:t>
      </w:r>
      <w:r w:rsidRPr="0080742D">
        <w:t xml:space="preserve"> uz elektroniskā pasta adresi </w:t>
      </w:r>
      <w:hyperlink r:id="rId12" w:history="1">
        <w:r w:rsidR="002216B0">
          <w:rPr>
            <w:rStyle w:val="Hyperlink"/>
            <w:b/>
          </w:rPr>
          <w:t>disleraizspele@gmail.com</w:t>
        </w:r>
      </w:hyperlink>
      <w:r w:rsidRPr="00C778C1">
        <w:rPr>
          <w:b/>
        </w:rPr>
        <w:t>.</w:t>
      </w:r>
      <w:bookmarkEnd w:id="4"/>
      <w:r w:rsidR="00F74CAB">
        <w:rPr>
          <w:b/>
        </w:rPr>
        <w:t xml:space="preserve"> </w:t>
      </w:r>
      <w:r w:rsidR="00F74CAB">
        <w:t>Termiņa nokavēšanas gadījumā Izspēles organizatori ir tiesīgi komandām piemērot soda punktus</w:t>
      </w:r>
      <w:r w:rsidR="00C570E9">
        <w:t xml:space="preserve"> vai diskvalificēt </w:t>
      </w:r>
      <w:r w:rsidR="00C14919">
        <w:t>tās</w:t>
      </w:r>
      <w:r w:rsidR="00C570E9">
        <w:t>.</w:t>
      </w:r>
    </w:p>
    <w:p w:rsidR="00E3082D" w:rsidRPr="0080742D" w:rsidRDefault="00377635" w:rsidP="000B7101">
      <w:pPr>
        <w:pStyle w:val="NoSpacing"/>
      </w:pPr>
      <w:r w:rsidRPr="0080742D">
        <w:t>Pēc kāzusa analīzes nosūtīšanas izmaiņas tajā vairs neveic.</w:t>
      </w:r>
    </w:p>
    <w:p w:rsidR="00E3082D" w:rsidRDefault="00377635" w:rsidP="00533E3A">
      <w:pPr>
        <w:pStyle w:val="NoSpacing"/>
        <w:rPr>
          <w:rFonts w:cs="Times New Roman"/>
        </w:rPr>
      </w:pPr>
      <w:r w:rsidRPr="0080742D">
        <w:t xml:space="preserve">Izspēles organizatoriem pēc </w:t>
      </w:r>
      <w:r w:rsidR="008C424A">
        <w:t>I</w:t>
      </w:r>
      <w:r w:rsidRPr="0080742D">
        <w:t>zspēles mut</w:t>
      </w:r>
      <w:r w:rsidR="008C424A">
        <w:t>vārdu</w:t>
      </w:r>
      <w:r w:rsidRPr="0080742D">
        <w:t xml:space="preserve"> daļas noslēgšanās ir tiesības</w:t>
      </w:r>
      <w:r w:rsidR="009046C5" w:rsidRPr="0080742D">
        <w:t xml:space="preserve"> </w:t>
      </w:r>
      <w:r w:rsidRPr="0080742D">
        <w:t>publicēt dalībnieku kāzusa analīzi</w:t>
      </w:r>
      <w:r w:rsidR="00F74CAB">
        <w:t xml:space="preserve">. </w:t>
      </w:r>
      <w:r w:rsidRPr="0080742D">
        <w:t>Komanda, k</w:t>
      </w:r>
      <w:r w:rsidR="00C570E9">
        <w:t>ura</w:t>
      </w:r>
      <w:r w:rsidRPr="0080742D">
        <w:t xml:space="preserve"> nevēlas, lai tās darbs tiktu publicēts, par to</w:t>
      </w:r>
      <w:r w:rsidR="00DF6804">
        <w:t xml:space="preserve"> </w:t>
      </w:r>
      <w:r w:rsidRPr="00DF6804">
        <w:rPr>
          <w:rFonts w:cs="Times New Roman"/>
        </w:rPr>
        <w:t xml:space="preserve">informē </w:t>
      </w:r>
      <w:r w:rsidR="008C424A">
        <w:rPr>
          <w:rFonts w:cs="Times New Roman"/>
        </w:rPr>
        <w:t>I</w:t>
      </w:r>
      <w:r w:rsidRPr="00DF6804">
        <w:rPr>
          <w:rFonts w:cs="Times New Roman"/>
        </w:rPr>
        <w:t xml:space="preserve">zspēles organizatorus līdz </w:t>
      </w:r>
      <w:r w:rsidR="00C570E9">
        <w:rPr>
          <w:rFonts w:cs="Times New Roman"/>
        </w:rPr>
        <w:t>fināla I</w:t>
      </w:r>
      <w:r w:rsidRPr="00DF6804">
        <w:rPr>
          <w:rFonts w:cs="Times New Roman"/>
        </w:rPr>
        <w:t>zspēles</w:t>
      </w:r>
      <w:r w:rsidR="00C570E9">
        <w:rPr>
          <w:rFonts w:cs="Times New Roman"/>
        </w:rPr>
        <w:t xml:space="preserve"> sākumam.</w:t>
      </w:r>
    </w:p>
    <w:p w:rsidR="002216B0" w:rsidRPr="00DF6804" w:rsidRDefault="002216B0" w:rsidP="00167EBC">
      <w:pPr>
        <w:pStyle w:val="NoSpacing"/>
        <w:numPr>
          <w:ilvl w:val="0"/>
          <w:numId w:val="0"/>
        </w:numPr>
        <w:rPr>
          <w:rFonts w:cs="Times New Roman"/>
        </w:rPr>
      </w:pPr>
    </w:p>
    <w:p w:rsidR="002216B0" w:rsidRDefault="00377635" w:rsidP="002216B0">
      <w:pPr>
        <w:pStyle w:val="Heading1"/>
        <w:spacing w:before="0" w:after="0"/>
      </w:pPr>
      <w:r w:rsidRPr="0080742D">
        <w:t xml:space="preserve">Izspēles </w:t>
      </w:r>
      <w:r w:rsidR="003E4D7E" w:rsidRPr="0080742D">
        <w:t>mut</w:t>
      </w:r>
      <w:r w:rsidR="003E4D7E">
        <w:t>vārdu</w:t>
      </w:r>
      <w:r w:rsidR="003E4D7E" w:rsidRPr="0080742D">
        <w:t xml:space="preserve"> </w:t>
      </w:r>
      <w:r w:rsidRPr="0080742D">
        <w:t>daļa</w:t>
      </w:r>
    </w:p>
    <w:p w:rsidR="002216B0" w:rsidRPr="002216B0" w:rsidRDefault="002216B0" w:rsidP="00167EBC">
      <w:pPr>
        <w:pStyle w:val="Normal1"/>
      </w:pPr>
    </w:p>
    <w:p w:rsidR="009046C5" w:rsidRPr="0080742D" w:rsidRDefault="00377635" w:rsidP="00C778C1">
      <w:pPr>
        <w:pStyle w:val="Heading2"/>
        <w:spacing w:before="0"/>
        <w:jc w:val="center"/>
      </w:pPr>
      <w:bookmarkStart w:id="5" w:name="_Ref397521178"/>
      <w:r w:rsidRPr="0080742D">
        <w:t>Izspēles mut</w:t>
      </w:r>
      <w:r w:rsidR="003B2035">
        <w:t>vārdu</w:t>
      </w:r>
      <w:r w:rsidRPr="0080742D">
        <w:t xml:space="preserve"> daļas dalībnieki</w:t>
      </w:r>
      <w:bookmarkEnd w:id="5"/>
    </w:p>
    <w:p w:rsidR="00E3082D" w:rsidRDefault="00377635" w:rsidP="00484DCA">
      <w:pPr>
        <w:pStyle w:val="Normal1"/>
        <w:widowControl w:val="0"/>
        <w:spacing w:line="360" w:lineRule="auto"/>
        <w:jc w:val="both"/>
        <w:rPr>
          <w:rFonts w:ascii="Garamond" w:hAnsi="Garamond" w:cs="Times New Roman"/>
          <w:sz w:val="24"/>
        </w:rPr>
      </w:pPr>
      <w:r w:rsidRPr="0080742D">
        <w:rPr>
          <w:rFonts w:ascii="Garamond" w:hAnsi="Garamond" w:cs="Times New Roman"/>
          <w:sz w:val="24"/>
        </w:rPr>
        <w:t>Izspēles mut</w:t>
      </w:r>
      <w:r w:rsidR="003B2035">
        <w:rPr>
          <w:rFonts w:ascii="Garamond" w:hAnsi="Garamond" w:cs="Times New Roman"/>
          <w:sz w:val="24"/>
        </w:rPr>
        <w:t>vārdu</w:t>
      </w:r>
      <w:r w:rsidRPr="0080742D">
        <w:rPr>
          <w:rFonts w:ascii="Garamond" w:hAnsi="Garamond" w:cs="Times New Roman"/>
          <w:sz w:val="24"/>
        </w:rPr>
        <w:t xml:space="preserve"> daļā piedalās </w:t>
      </w:r>
      <w:r w:rsidR="003B2035">
        <w:rPr>
          <w:rFonts w:ascii="Garamond" w:hAnsi="Garamond" w:cs="Times New Roman"/>
          <w:sz w:val="24"/>
        </w:rPr>
        <w:t>8</w:t>
      </w:r>
      <w:r w:rsidRPr="0080742D">
        <w:rPr>
          <w:rFonts w:ascii="Garamond" w:hAnsi="Garamond" w:cs="Times New Roman"/>
          <w:sz w:val="24"/>
        </w:rPr>
        <w:t xml:space="preserve"> komandas</w:t>
      </w:r>
      <w:r w:rsidR="003B2035">
        <w:rPr>
          <w:rFonts w:ascii="Garamond" w:hAnsi="Garamond" w:cs="Times New Roman"/>
          <w:sz w:val="24"/>
        </w:rPr>
        <w:t>, kuras</w:t>
      </w:r>
      <w:r w:rsidRPr="0080742D">
        <w:rPr>
          <w:rFonts w:ascii="Garamond" w:hAnsi="Garamond" w:cs="Times New Roman"/>
          <w:sz w:val="24"/>
        </w:rPr>
        <w:t xml:space="preserve"> Izspēles rakstiskajā daļā ieguvuš</w:t>
      </w:r>
      <w:r w:rsidR="003B2035">
        <w:rPr>
          <w:rFonts w:ascii="Garamond" w:hAnsi="Garamond" w:cs="Times New Roman"/>
          <w:sz w:val="24"/>
        </w:rPr>
        <w:t>as</w:t>
      </w:r>
      <w:r w:rsidR="009046C5" w:rsidRPr="0080742D">
        <w:rPr>
          <w:rFonts w:ascii="Garamond" w:hAnsi="Garamond" w:cs="Times New Roman"/>
          <w:sz w:val="24"/>
        </w:rPr>
        <w:t xml:space="preserve"> </w:t>
      </w:r>
      <w:r w:rsidRPr="0080742D">
        <w:rPr>
          <w:rFonts w:ascii="Garamond" w:hAnsi="Garamond" w:cs="Times New Roman"/>
          <w:sz w:val="24"/>
        </w:rPr>
        <w:t>lielāko punktu skaitu.</w:t>
      </w:r>
      <w:r w:rsidR="003B2035">
        <w:rPr>
          <w:rFonts w:ascii="Garamond" w:hAnsi="Garamond" w:cs="Times New Roman"/>
          <w:sz w:val="24"/>
        </w:rPr>
        <w:t xml:space="preserve"> Izspēles organizatori jebkurā brīdī var lemt par mutvārdu daļas dalībnieku skaita palielināšanu vai samazināšanu.</w:t>
      </w:r>
    </w:p>
    <w:p w:rsidR="002216B0" w:rsidRPr="0080742D" w:rsidRDefault="002216B0" w:rsidP="00484DCA">
      <w:pPr>
        <w:pStyle w:val="Normal1"/>
        <w:widowControl w:val="0"/>
        <w:spacing w:line="360" w:lineRule="auto"/>
        <w:jc w:val="both"/>
        <w:rPr>
          <w:rFonts w:ascii="Garamond" w:hAnsi="Garamond" w:cs="Times New Roman"/>
        </w:rPr>
      </w:pPr>
    </w:p>
    <w:p w:rsidR="009046C5" w:rsidRPr="0080742D" w:rsidRDefault="00377635" w:rsidP="00C778C1">
      <w:pPr>
        <w:pStyle w:val="Heading2"/>
        <w:spacing w:before="0"/>
        <w:jc w:val="center"/>
      </w:pPr>
      <w:r w:rsidRPr="0080742D">
        <w:t>Izspēļu laiks, vieta un norise</w:t>
      </w:r>
    </w:p>
    <w:p w:rsidR="003E4D7E" w:rsidRDefault="00377635" w:rsidP="00C778C1">
      <w:pPr>
        <w:pStyle w:val="NoSpacing"/>
      </w:pPr>
      <w:r w:rsidRPr="0080742D">
        <w:t xml:space="preserve">Izspēles notiek Rīgā, Latvijas Universitātes Juridiskās fakultātes </w:t>
      </w:r>
      <w:r w:rsidR="003B2035">
        <w:t xml:space="preserve">un Rīgas Juridiskās augstskolas </w:t>
      </w:r>
      <w:r w:rsidRPr="0080742D">
        <w:t>telpās 201</w:t>
      </w:r>
      <w:r w:rsidR="002216B0">
        <w:t>9</w:t>
      </w:r>
      <w:r w:rsidR="004C0766">
        <w:t>.</w:t>
      </w:r>
      <w:r w:rsidRPr="0080742D">
        <w:t xml:space="preserve">gada </w:t>
      </w:r>
      <w:r w:rsidR="00914599">
        <w:t>6</w:t>
      </w:r>
      <w:r w:rsidR="003B2035">
        <w:t>.</w:t>
      </w:r>
      <w:r w:rsidR="002216B0">
        <w:t xml:space="preserve"> un </w:t>
      </w:r>
      <w:r w:rsidR="00914599">
        <w:t>7</w:t>
      </w:r>
      <w:r w:rsidR="003B2035">
        <w:t>.decembrī</w:t>
      </w:r>
      <w:r w:rsidRPr="0080742D">
        <w:t>.</w:t>
      </w:r>
      <w:r w:rsidR="009046C5" w:rsidRPr="0080742D">
        <w:t xml:space="preserve"> </w:t>
      </w:r>
      <w:r w:rsidR="003B2035">
        <w:t xml:space="preserve">Izspēles fināls norisinās Satversmes tiesā. </w:t>
      </w:r>
    </w:p>
    <w:p w:rsidR="003E4D7E" w:rsidRDefault="003E4D7E" w:rsidP="00C778C1">
      <w:pPr>
        <w:pStyle w:val="NoSpacing"/>
      </w:pPr>
      <w:r>
        <w:t xml:space="preserve">Izspēļu pirmajā dienā norisinās </w:t>
      </w:r>
      <w:r w:rsidR="0031305A">
        <w:t>priekšsacīkstes</w:t>
      </w:r>
      <w:r>
        <w:t xml:space="preserve">, savukārt otrajā dienā – </w:t>
      </w:r>
      <w:r w:rsidR="00914599">
        <w:t xml:space="preserve">ceturtdaļfināla, </w:t>
      </w:r>
      <w:r>
        <w:t>pusfināla un fināla izspēles.</w:t>
      </w:r>
    </w:p>
    <w:p w:rsidR="003E4D7E" w:rsidRDefault="003E4D7E" w:rsidP="00C778C1">
      <w:pPr>
        <w:pStyle w:val="NoSpacing"/>
      </w:pPr>
      <w:r w:rsidRPr="0080742D">
        <w:t>Nepieciešamības gadījumā Izspēles organizētāji var lemt par citu izspēļu organizēšanas vietu</w:t>
      </w:r>
      <w:r>
        <w:t xml:space="preserve"> un norises laiku</w:t>
      </w:r>
      <w:r w:rsidRPr="0080742D">
        <w:t>, par</w:t>
      </w:r>
      <w:r>
        <w:t xml:space="preserve"> </w:t>
      </w:r>
      <w:r w:rsidRPr="0080742D">
        <w:t>to savlaicīgi informējot Izspēles dalībniekus</w:t>
      </w:r>
      <w:r>
        <w:t>.</w:t>
      </w:r>
    </w:p>
    <w:p w:rsidR="003678C2" w:rsidRDefault="003678C2" w:rsidP="00914599">
      <w:pPr>
        <w:pStyle w:val="NoSpacing"/>
        <w:numPr>
          <w:ilvl w:val="0"/>
          <w:numId w:val="0"/>
        </w:numPr>
      </w:pPr>
    </w:p>
    <w:p w:rsidR="009046C5" w:rsidRPr="0080742D" w:rsidRDefault="00377635" w:rsidP="00C778C1">
      <w:pPr>
        <w:pStyle w:val="Heading2"/>
        <w:spacing w:before="0"/>
        <w:jc w:val="center"/>
      </w:pPr>
      <w:r w:rsidRPr="0080742D">
        <w:t>Izspēles valoda</w:t>
      </w:r>
    </w:p>
    <w:p w:rsidR="00E3082D" w:rsidRDefault="00377635" w:rsidP="00484DCA">
      <w:pPr>
        <w:pStyle w:val="Normal1"/>
        <w:widowControl w:val="0"/>
        <w:spacing w:line="360" w:lineRule="auto"/>
        <w:jc w:val="both"/>
        <w:rPr>
          <w:rFonts w:ascii="Garamond" w:hAnsi="Garamond" w:cs="Times New Roman"/>
          <w:sz w:val="24"/>
        </w:rPr>
      </w:pPr>
      <w:r w:rsidRPr="0080742D">
        <w:rPr>
          <w:rFonts w:ascii="Garamond" w:hAnsi="Garamond" w:cs="Times New Roman"/>
          <w:sz w:val="24"/>
        </w:rPr>
        <w:t>Izspēles notiek latviešu valodā.</w:t>
      </w:r>
    </w:p>
    <w:p w:rsidR="009046C5" w:rsidRPr="0080742D" w:rsidRDefault="00EE47D3" w:rsidP="00C778C1">
      <w:pPr>
        <w:pStyle w:val="Heading2"/>
        <w:spacing w:before="0"/>
        <w:jc w:val="center"/>
      </w:pPr>
      <w:r>
        <w:lastRenderedPageBreak/>
        <w:t>Izspēles kārtas</w:t>
      </w:r>
    </w:p>
    <w:p w:rsidR="00E3082D" w:rsidRPr="0080742D" w:rsidRDefault="00377635" w:rsidP="00484DCA">
      <w:pPr>
        <w:pStyle w:val="NoSpacing"/>
      </w:pPr>
      <w:r w:rsidRPr="0080742D">
        <w:t>Izspēle notiek trīs kārtās:</w:t>
      </w:r>
    </w:p>
    <w:p w:rsidR="00E3082D" w:rsidRPr="0080742D" w:rsidRDefault="00377635" w:rsidP="00C36BC6">
      <w:pPr>
        <w:pStyle w:val="NoSpacing"/>
        <w:numPr>
          <w:ilvl w:val="3"/>
          <w:numId w:val="3"/>
        </w:numPr>
        <w:ind w:left="567"/>
      </w:pPr>
      <w:r w:rsidRPr="0080742D">
        <w:t xml:space="preserve">priekšsacīkstes, kuru laikā katra no Nolikuma </w:t>
      </w:r>
      <w:r w:rsidR="00DF6804" w:rsidRPr="00C778C1">
        <w:rPr>
          <w:b/>
        </w:rPr>
        <w:fldChar w:fldCharType="begin"/>
      </w:r>
      <w:r w:rsidR="00DF6804" w:rsidRPr="00C778C1">
        <w:rPr>
          <w:b/>
        </w:rPr>
        <w:instrText xml:space="preserve"> REF _Ref397521178 \n \h </w:instrText>
      </w:r>
      <w:r w:rsidR="005929E8" w:rsidRPr="00C778C1">
        <w:rPr>
          <w:b/>
        </w:rPr>
        <w:instrText xml:space="preserve"> \* MERGEFORMAT </w:instrText>
      </w:r>
      <w:r w:rsidR="00DF6804" w:rsidRPr="00C778C1">
        <w:rPr>
          <w:b/>
        </w:rPr>
      </w:r>
      <w:r w:rsidR="00DF6804" w:rsidRPr="00C778C1">
        <w:rPr>
          <w:b/>
        </w:rPr>
        <w:fldChar w:fldCharType="separate"/>
      </w:r>
      <w:r w:rsidR="00CA4A34" w:rsidRPr="00C778C1">
        <w:rPr>
          <w:b/>
        </w:rPr>
        <w:t>13</w:t>
      </w:r>
      <w:r w:rsidR="00DF6804" w:rsidRPr="00C778C1">
        <w:rPr>
          <w:b/>
        </w:rPr>
        <w:fldChar w:fldCharType="end"/>
      </w:r>
      <w:r w:rsidRPr="00C778C1">
        <w:rPr>
          <w:b/>
        </w:rPr>
        <w:t>.punktā</w:t>
      </w:r>
      <w:r w:rsidRPr="0080742D">
        <w:t xml:space="preserve"> minētajām komandām</w:t>
      </w:r>
      <w:r w:rsidR="009046C5" w:rsidRPr="0080742D">
        <w:t xml:space="preserve"> </w:t>
      </w:r>
      <w:r w:rsidRPr="0080742D">
        <w:t>piedalās divās izspēlēs</w:t>
      </w:r>
      <w:r w:rsidR="00DE4DDB">
        <w:t>. Divas komandas, kuras</w:t>
      </w:r>
      <w:r w:rsidR="00914599">
        <w:t xml:space="preserve"> pēc priekšsacīkstēm iegūst lielāko punktu skaitu kopvērtējumā</w:t>
      </w:r>
      <w:r w:rsidR="004C0766">
        <w:t>,</w:t>
      </w:r>
      <w:r w:rsidR="00914599">
        <w:t xml:space="preserve"> </w:t>
      </w:r>
      <w:r w:rsidR="00DE4DDB">
        <w:t>tiek automātiski izvirzītas dalībai pusfinālā</w:t>
      </w:r>
      <w:r w:rsidR="00914599">
        <w:t>;</w:t>
      </w:r>
    </w:p>
    <w:p w:rsidR="00914599" w:rsidRDefault="00914599" w:rsidP="00C36BC6">
      <w:pPr>
        <w:pStyle w:val="NoSpacing"/>
        <w:numPr>
          <w:ilvl w:val="3"/>
          <w:numId w:val="3"/>
        </w:numPr>
        <w:ind w:left="567"/>
      </w:pPr>
      <w:r>
        <w:t>ceturtdaļfināls, kurā piedalās četras komandas, kuras pēc priekšsacīkstēm ieguvušas 3.-6.vietu</w:t>
      </w:r>
      <w:r w:rsidR="00DE4DDB">
        <w:t xml:space="preserve">. Tiesnešu balsojuma rezultātā divas </w:t>
      </w:r>
      <w:r w:rsidR="004C0766">
        <w:t xml:space="preserve">ceturtdaļfināla </w:t>
      </w:r>
      <w:r w:rsidR="00DE4DDB">
        <w:t>spēcīgākās komandas tiek izvirzītas dalībai pusfinālā</w:t>
      </w:r>
      <w:r>
        <w:t>;</w:t>
      </w:r>
    </w:p>
    <w:p w:rsidR="00E3082D" w:rsidRPr="0080742D" w:rsidRDefault="00377635" w:rsidP="00C36BC6">
      <w:pPr>
        <w:pStyle w:val="NoSpacing"/>
        <w:numPr>
          <w:ilvl w:val="3"/>
          <w:numId w:val="3"/>
        </w:numPr>
        <w:ind w:left="567"/>
      </w:pPr>
      <w:r w:rsidRPr="0080742D">
        <w:t xml:space="preserve">pusfināls, kurā piedalās </w:t>
      </w:r>
      <w:r w:rsidR="00C36BC6">
        <w:t>četras</w:t>
      </w:r>
      <w:r w:rsidRPr="0080742D">
        <w:t xml:space="preserve"> komandas, k</w:t>
      </w:r>
      <w:r w:rsidR="003B2035">
        <w:t>uras</w:t>
      </w:r>
      <w:r w:rsidRPr="0080742D">
        <w:t xml:space="preserve"> </w:t>
      </w:r>
      <w:r w:rsidR="00914599">
        <w:t>pēc ceturtdaļfināla un priekšsacīkstēm izvirzītas pusfinālam;</w:t>
      </w:r>
    </w:p>
    <w:p w:rsidR="00E3082D" w:rsidRPr="0080742D" w:rsidRDefault="00377635" w:rsidP="00C36BC6">
      <w:pPr>
        <w:pStyle w:val="NoSpacing"/>
        <w:numPr>
          <w:ilvl w:val="3"/>
          <w:numId w:val="3"/>
        </w:numPr>
        <w:ind w:left="567"/>
      </w:pPr>
      <w:r w:rsidRPr="0080742D">
        <w:t xml:space="preserve">fināls, kurā piedalās </w:t>
      </w:r>
      <w:r w:rsidR="00C36BC6">
        <w:t>divas</w:t>
      </w:r>
      <w:r w:rsidRPr="0080742D">
        <w:t xml:space="preserve"> komandas, kuras tiesnešu balsojuma rezultātā izvirzītas</w:t>
      </w:r>
      <w:r w:rsidR="009046C5" w:rsidRPr="0080742D">
        <w:t xml:space="preserve"> </w:t>
      </w:r>
      <w:r w:rsidRPr="0080742D">
        <w:t>finālam.</w:t>
      </w:r>
    </w:p>
    <w:p w:rsidR="00E3082D" w:rsidRPr="0054743F" w:rsidRDefault="00377635" w:rsidP="00533E3A">
      <w:pPr>
        <w:pStyle w:val="NoSpacing"/>
        <w:rPr>
          <w:rFonts w:cs="Times New Roman"/>
        </w:rPr>
      </w:pPr>
      <w:r w:rsidRPr="0080742D">
        <w:t xml:space="preserve">Izspēles organizatoriem ir tiesības mainīt </w:t>
      </w:r>
      <w:r w:rsidR="008C424A">
        <w:t>I</w:t>
      </w:r>
      <w:r w:rsidRPr="0080742D">
        <w:t>zspēles norises kārtību, ja pieteikušos komandu</w:t>
      </w:r>
      <w:r w:rsidR="009046C5" w:rsidRPr="0080742D">
        <w:t xml:space="preserve"> </w:t>
      </w:r>
      <w:r w:rsidRPr="0080742D">
        <w:t xml:space="preserve">skaits ir lielāks vai mazāks par </w:t>
      </w:r>
      <w:r w:rsidR="009046C5" w:rsidRPr="0080742D">
        <w:t>8</w:t>
      </w:r>
      <w:r w:rsidRPr="0080742D">
        <w:t xml:space="preserve">. Tādā gadījumā </w:t>
      </w:r>
      <w:r w:rsidR="003E4D7E">
        <w:t>I</w:t>
      </w:r>
      <w:r w:rsidRPr="0080742D">
        <w:t xml:space="preserve">zspēles organizatori </w:t>
      </w:r>
      <w:r w:rsidR="00D07189">
        <w:t>ne vēlāk kā 2 dienas pirms izspēļu sākuma</w:t>
      </w:r>
      <w:r w:rsidR="00C36BC6">
        <w:t xml:space="preserve"> informē par to </w:t>
      </w:r>
      <w:r w:rsidR="003E4D7E">
        <w:t>I</w:t>
      </w:r>
      <w:r w:rsidR="00C36BC6">
        <w:t>zspēles dalībniekus.</w:t>
      </w:r>
    </w:p>
    <w:p w:rsidR="0054743F" w:rsidRPr="00DF6804" w:rsidRDefault="0054743F" w:rsidP="00914599">
      <w:pPr>
        <w:pStyle w:val="NoSpacing"/>
        <w:numPr>
          <w:ilvl w:val="0"/>
          <w:numId w:val="0"/>
        </w:numPr>
        <w:rPr>
          <w:rFonts w:cs="Times New Roman"/>
        </w:rPr>
      </w:pPr>
    </w:p>
    <w:p w:rsidR="009046C5" w:rsidRPr="0080742D" w:rsidRDefault="00377635" w:rsidP="00C778C1">
      <w:pPr>
        <w:pStyle w:val="Heading2"/>
        <w:spacing w:before="0"/>
        <w:jc w:val="center"/>
      </w:pPr>
      <w:r w:rsidRPr="0080742D">
        <w:t>Pozīciju sadalījums</w:t>
      </w:r>
    </w:p>
    <w:p w:rsidR="00E3082D" w:rsidRPr="0080742D" w:rsidRDefault="00377635" w:rsidP="00484DCA">
      <w:pPr>
        <w:pStyle w:val="NoSpacing"/>
      </w:pPr>
      <w:r w:rsidRPr="0080742D">
        <w:t>Katra komanda priekšsacīkstēs uzstājas divas reizes: vienu reizi kā piete</w:t>
      </w:r>
      <w:r w:rsidR="0054743F">
        <w:t>ikuma iesniedzējs</w:t>
      </w:r>
      <w:r w:rsidRPr="0080742D">
        <w:t xml:space="preserve"> un vienu reizi</w:t>
      </w:r>
      <w:r w:rsidR="009046C5" w:rsidRPr="0080742D">
        <w:t xml:space="preserve"> </w:t>
      </w:r>
      <w:r w:rsidRPr="0080742D">
        <w:t xml:space="preserve">kā </w:t>
      </w:r>
      <w:r w:rsidR="009046C5" w:rsidRPr="0080742D">
        <w:t>i</w:t>
      </w:r>
      <w:r w:rsidR="00C36BC6">
        <w:t>nstitūcija</w:t>
      </w:r>
      <w:r w:rsidRPr="0080742D">
        <w:t>, kas izdevusi apstrīdēto aktu.</w:t>
      </w:r>
    </w:p>
    <w:p w:rsidR="00E3082D" w:rsidRPr="0080742D" w:rsidRDefault="00375CDE" w:rsidP="000B7101">
      <w:pPr>
        <w:pStyle w:val="NoSpacing"/>
      </w:pPr>
      <w:bookmarkStart w:id="6" w:name="_Ref397521260"/>
      <w:r w:rsidRPr="0080742D">
        <w:t>Pozīciju sadalījumu un komandu–pretinieču pārus priekšsacīkšu izspēlēm nosaka organizatori</w:t>
      </w:r>
      <w:r w:rsidR="00914599">
        <w:t>, ievērojot rakstisko daļu rezultātus.</w:t>
      </w:r>
      <w:bookmarkEnd w:id="6"/>
    </w:p>
    <w:p w:rsidR="00E3082D" w:rsidRPr="0080742D" w:rsidRDefault="00377635" w:rsidP="00533E3A">
      <w:pPr>
        <w:pStyle w:val="NoSpacing"/>
      </w:pPr>
      <w:r w:rsidRPr="0080742D">
        <w:t xml:space="preserve">Izspēles dalībnieki izlozēto pretinieku rakstiskos darbus </w:t>
      </w:r>
      <w:r w:rsidR="00D812DB">
        <w:t xml:space="preserve">priekšsacīkstēm un ceturtdaļfinālam </w:t>
      </w:r>
      <w:r w:rsidRPr="0080742D">
        <w:t>saņem pēc pozīciju izlozes</w:t>
      </w:r>
      <w:r w:rsidR="00C36BC6">
        <w:t>.</w:t>
      </w:r>
      <w:r w:rsidR="0054743F">
        <w:t xml:space="preserve"> Komandu-pretinieču rakstiskos darbus nosūta komandas kapteinim uz Pieteikuma anketā norādīto elektroniskā pasta adresi.</w:t>
      </w:r>
    </w:p>
    <w:p w:rsidR="00E3082D" w:rsidRDefault="00377635" w:rsidP="00533E3A">
      <w:pPr>
        <w:pStyle w:val="NoSpacing"/>
      </w:pPr>
      <w:r w:rsidRPr="0080742D">
        <w:t xml:space="preserve">Komandu pozīcijas </w:t>
      </w:r>
      <w:r w:rsidR="00914599">
        <w:t xml:space="preserve">ceturtdaļfināla, </w:t>
      </w:r>
      <w:r w:rsidRPr="0080742D">
        <w:t>pusfināla un fināla izspēlei izlozē</w:t>
      </w:r>
      <w:r w:rsidR="0054743F">
        <w:t xml:space="preserve"> klātienē</w:t>
      </w:r>
      <w:r w:rsidR="00C65994">
        <w:t xml:space="preserve"> pēc rezultātu paziņošanas</w:t>
      </w:r>
      <w:r w:rsidRPr="0080742D">
        <w:t>.</w:t>
      </w:r>
    </w:p>
    <w:p w:rsidR="0054743F" w:rsidRPr="0080742D" w:rsidRDefault="0054743F" w:rsidP="00914599">
      <w:pPr>
        <w:pStyle w:val="NoSpacing"/>
        <w:numPr>
          <w:ilvl w:val="0"/>
          <w:numId w:val="0"/>
        </w:numPr>
      </w:pPr>
    </w:p>
    <w:p w:rsidR="00375CDE" w:rsidRPr="0080742D" w:rsidRDefault="00377635" w:rsidP="00C778C1">
      <w:pPr>
        <w:pStyle w:val="Heading2"/>
        <w:spacing w:before="0"/>
        <w:jc w:val="center"/>
      </w:pPr>
      <w:r w:rsidRPr="0080742D">
        <w:t xml:space="preserve">Klātbūtne </w:t>
      </w:r>
      <w:r w:rsidR="003E4D7E" w:rsidRPr="0080742D">
        <w:t>mut</w:t>
      </w:r>
      <w:r w:rsidR="003E4D7E">
        <w:t>vārdu</w:t>
      </w:r>
      <w:r w:rsidR="003E4D7E" w:rsidRPr="0080742D">
        <w:t xml:space="preserve"> </w:t>
      </w:r>
      <w:r w:rsidRPr="0080742D">
        <w:t>izspēlēs</w:t>
      </w:r>
    </w:p>
    <w:p w:rsidR="00E3082D" w:rsidRPr="0080742D" w:rsidRDefault="00377635" w:rsidP="00484DCA">
      <w:pPr>
        <w:pStyle w:val="NoSpacing"/>
      </w:pPr>
      <w:r w:rsidRPr="0080742D">
        <w:t>Mut</w:t>
      </w:r>
      <w:r w:rsidR="00C36BC6">
        <w:t>vārdu</w:t>
      </w:r>
      <w:r w:rsidRPr="0080742D">
        <w:t xml:space="preserve"> izspēļu laikā</w:t>
      </w:r>
      <w:r w:rsidR="004C0766">
        <w:t>,</w:t>
      </w:r>
      <w:r w:rsidRPr="0080742D">
        <w:t xml:space="preserve"> katrā izspēlē, kurā piedalās komanda, jāpiedalās visiem komandas</w:t>
      </w:r>
      <w:r w:rsidR="00375CDE" w:rsidRPr="0080742D">
        <w:t xml:space="preserve"> </w:t>
      </w:r>
      <w:r w:rsidRPr="0080742D">
        <w:t xml:space="preserve">dalībniekiem, izņemot </w:t>
      </w:r>
      <w:r w:rsidR="00914599">
        <w:rPr>
          <w:b/>
        </w:rPr>
        <w:t>6.7</w:t>
      </w:r>
      <w:r w:rsidRPr="00C778C1">
        <w:rPr>
          <w:b/>
        </w:rPr>
        <w:t>.</w:t>
      </w:r>
      <w:r w:rsidRPr="0080742D">
        <w:t xml:space="preserve"> punktā minēto gadījumu.</w:t>
      </w:r>
      <w:r w:rsidR="00375CDE" w:rsidRPr="0080742D">
        <w:t xml:space="preserve"> </w:t>
      </w:r>
    </w:p>
    <w:p w:rsidR="00E3082D" w:rsidRPr="0080742D" w:rsidRDefault="00377635" w:rsidP="000B7101">
      <w:pPr>
        <w:pStyle w:val="NoSpacing"/>
      </w:pPr>
      <w:r w:rsidRPr="0080742D">
        <w:t>Gadījumā, ja uz Izspēles mut</w:t>
      </w:r>
      <w:r w:rsidR="00C36BC6">
        <w:t>vārdu</w:t>
      </w:r>
      <w:r w:rsidRPr="0080742D">
        <w:t xml:space="preserve"> daļu neierodas kāda no </w:t>
      </w:r>
      <w:r w:rsidR="00AC660A" w:rsidRPr="00C778C1">
        <w:rPr>
          <w:b/>
        </w:rPr>
        <w:fldChar w:fldCharType="begin"/>
      </w:r>
      <w:r w:rsidR="00AC660A" w:rsidRPr="00C778C1">
        <w:rPr>
          <w:b/>
        </w:rPr>
        <w:instrText xml:space="preserve"> REF _Ref397521260 \n \h </w:instrText>
      </w:r>
      <w:r w:rsidR="005929E8" w:rsidRPr="00C778C1">
        <w:rPr>
          <w:b/>
        </w:rPr>
        <w:instrText xml:space="preserve"> \* MERGEFORMAT </w:instrText>
      </w:r>
      <w:r w:rsidR="00AC660A" w:rsidRPr="00C778C1">
        <w:rPr>
          <w:b/>
        </w:rPr>
      </w:r>
      <w:r w:rsidR="00AC660A" w:rsidRPr="00C778C1">
        <w:rPr>
          <w:b/>
        </w:rPr>
        <w:fldChar w:fldCharType="separate"/>
      </w:r>
      <w:r w:rsidR="00CA4A34" w:rsidRPr="00C778C1">
        <w:rPr>
          <w:b/>
        </w:rPr>
        <w:t>17.2</w:t>
      </w:r>
      <w:r w:rsidR="00AC660A" w:rsidRPr="00C778C1">
        <w:rPr>
          <w:b/>
        </w:rPr>
        <w:fldChar w:fldCharType="end"/>
      </w:r>
      <w:r w:rsidRPr="00C778C1">
        <w:rPr>
          <w:b/>
        </w:rPr>
        <w:t>.</w:t>
      </w:r>
      <w:r w:rsidRPr="0080742D">
        <w:t xml:space="preserve"> punktā izlozētajām</w:t>
      </w:r>
      <w:r w:rsidR="00375CDE" w:rsidRPr="0080742D">
        <w:t xml:space="preserve"> </w:t>
      </w:r>
      <w:r w:rsidRPr="0080742D">
        <w:t>komandām un tās pretiniece–komanda ir ieradusies, tad pēdējā uzstājas bez pretinieces</w:t>
      </w:r>
      <w:r w:rsidR="00D812DB">
        <w:t>. T</w:t>
      </w:r>
      <w:r w:rsidRPr="0080742D">
        <w:t>ādā</w:t>
      </w:r>
      <w:r w:rsidR="00375CDE" w:rsidRPr="0080742D">
        <w:t xml:space="preserve"> </w:t>
      </w:r>
      <w:r w:rsidRPr="0080742D">
        <w:t xml:space="preserve">situācijā tiesneši, </w:t>
      </w:r>
      <w:r w:rsidRPr="0080742D">
        <w:lastRenderedPageBreak/>
        <w:t xml:space="preserve">vērtējot komandas sniegumu, ņem vērā to, ka </w:t>
      </w:r>
      <w:r w:rsidR="00D812DB">
        <w:t>komanda</w:t>
      </w:r>
      <w:r w:rsidRPr="0080742D">
        <w:t xml:space="preserve"> uzstājas viena pati.</w:t>
      </w:r>
      <w:r w:rsidR="00375CDE" w:rsidRPr="0080742D">
        <w:t xml:space="preserve"> </w:t>
      </w:r>
      <w:r w:rsidR="00D812DB">
        <w:t>Ja komanda uzstājas viena pati, tai</w:t>
      </w:r>
      <w:r w:rsidR="00C36BC6">
        <w:t xml:space="preserve"> nav pienākuma izteikt repliku.</w:t>
      </w:r>
    </w:p>
    <w:p w:rsidR="00E3082D" w:rsidRPr="0080742D" w:rsidRDefault="00377635" w:rsidP="00533E3A">
      <w:pPr>
        <w:pStyle w:val="NoSpacing"/>
      </w:pPr>
      <w:r w:rsidRPr="0080742D">
        <w:t>Citas personas ir tiesīgas novērot izspēles, netraucējot to norisi. Šī noteikuma pārkāpšanas</w:t>
      </w:r>
      <w:r w:rsidR="00375CDE" w:rsidRPr="0080742D">
        <w:t xml:space="preserve"> </w:t>
      </w:r>
      <w:r w:rsidRPr="0080742D">
        <w:t>gadījumā tiesnešiem ir tiesības izraidīt skatītājus no izspēļ</w:t>
      </w:r>
      <w:r w:rsidR="004C0766">
        <w:t xml:space="preserve">u norises telpas. Priekšsacīkšu, ceturtdaļfināla un pusfināla </w:t>
      </w:r>
      <w:r w:rsidRPr="0080742D">
        <w:t>izspēļu</w:t>
      </w:r>
      <w:r w:rsidR="00375CDE" w:rsidRPr="0080742D">
        <w:t xml:space="preserve"> </w:t>
      </w:r>
      <w:r w:rsidRPr="0080742D">
        <w:t>laikā skatītāju vidū nedrīkst atrasties cit</w:t>
      </w:r>
      <w:r w:rsidR="004C0766">
        <w:t>u komandu dalībnieki un treneri, kuri turpina dalību izspēlēs.</w:t>
      </w:r>
    </w:p>
    <w:p w:rsidR="00E3082D" w:rsidRDefault="00377635" w:rsidP="00533E3A">
      <w:pPr>
        <w:pStyle w:val="NoSpacing"/>
      </w:pPr>
      <w:r w:rsidRPr="0080742D">
        <w:t>Filmēt un veikt citus ierakstus drīkst tikai ar organizētāju atļauju.</w:t>
      </w:r>
    </w:p>
    <w:p w:rsidR="00C65994" w:rsidRPr="0080742D" w:rsidRDefault="00C65994" w:rsidP="00914599">
      <w:pPr>
        <w:pStyle w:val="NoSpacing"/>
        <w:numPr>
          <w:ilvl w:val="0"/>
          <w:numId w:val="0"/>
        </w:numPr>
      </w:pPr>
    </w:p>
    <w:p w:rsidR="00375CDE" w:rsidRPr="0080742D" w:rsidRDefault="00377635" w:rsidP="00C778C1">
      <w:pPr>
        <w:pStyle w:val="Heading2"/>
        <w:spacing w:before="0"/>
        <w:jc w:val="center"/>
      </w:pPr>
      <w:r w:rsidRPr="0080742D">
        <w:t>Izspēles norise</w:t>
      </w:r>
    </w:p>
    <w:p w:rsidR="00E3082D" w:rsidRPr="0080742D" w:rsidRDefault="00377635" w:rsidP="00484DCA">
      <w:pPr>
        <w:pStyle w:val="NoSpacing"/>
      </w:pPr>
      <w:r w:rsidRPr="0080742D">
        <w:t>Izspēle noris šādā kārtībā:</w:t>
      </w:r>
    </w:p>
    <w:p w:rsidR="00E3082D" w:rsidRPr="0080742D" w:rsidRDefault="00377635" w:rsidP="00367620">
      <w:pPr>
        <w:pStyle w:val="NoSpacing"/>
        <w:numPr>
          <w:ilvl w:val="3"/>
          <w:numId w:val="3"/>
        </w:numPr>
        <w:ind w:left="567"/>
      </w:pPr>
      <w:bookmarkStart w:id="7" w:name="_Ref397521342"/>
      <w:r w:rsidRPr="0080742D">
        <w:t>vispirms ne ilgāk k</w:t>
      </w:r>
      <w:r w:rsidR="00DC3564">
        <w:t xml:space="preserve">ā 20 minūtes uzstājas </w:t>
      </w:r>
      <w:r w:rsidR="006A4D66">
        <w:t>pieteikuma iesniedzējs</w:t>
      </w:r>
      <w:r w:rsidRPr="0080742D">
        <w:t>;</w:t>
      </w:r>
      <w:bookmarkEnd w:id="7"/>
    </w:p>
    <w:p w:rsidR="00E3082D" w:rsidRPr="0080742D" w:rsidRDefault="00377635" w:rsidP="00367620">
      <w:pPr>
        <w:pStyle w:val="NoSpacing"/>
        <w:numPr>
          <w:ilvl w:val="3"/>
          <w:numId w:val="3"/>
        </w:numPr>
        <w:ind w:left="567"/>
      </w:pPr>
      <w:bookmarkStart w:id="8" w:name="_Ref397521349"/>
      <w:r w:rsidRPr="0080742D">
        <w:t>pēc tam ne ilgāk kā 20 minūtes uzstājas institūcija</w:t>
      </w:r>
      <w:r w:rsidR="00DC3564">
        <w:t>,</w:t>
      </w:r>
      <w:r w:rsidRPr="0080742D">
        <w:t xml:space="preserve"> </w:t>
      </w:r>
      <w:r w:rsidR="00DC3564" w:rsidRPr="0080742D">
        <w:rPr>
          <w:rFonts w:cs="Times New Roman"/>
        </w:rPr>
        <w:t xml:space="preserve">kas izdevusi apstrīdēto </w:t>
      </w:r>
      <w:r w:rsidR="00DC3564">
        <w:rPr>
          <w:rFonts w:cs="Times New Roman"/>
        </w:rPr>
        <w:t xml:space="preserve">tiesību </w:t>
      </w:r>
      <w:r w:rsidR="00DC3564" w:rsidRPr="0080742D">
        <w:rPr>
          <w:rFonts w:cs="Times New Roman"/>
        </w:rPr>
        <w:t>aktu</w:t>
      </w:r>
      <w:r w:rsidR="00DC3564">
        <w:rPr>
          <w:rFonts w:cs="Times New Roman"/>
        </w:rPr>
        <w:t>/normu</w:t>
      </w:r>
      <w:r w:rsidRPr="0080742D">
        <w:t>;</w:t>
      </w:r>
      <w:bookmarkEnd w:id="8"/>
    </w:p>
    <w:p w:rsidR="00E3082D" w:rsidRPr="0080742D" w:rsidRDefault="00377635" w:rsidP="00367620">
      <w:pPr>
        <w:pStyle w:val="NoSpacing"/>
        <w:numPr>
          <w:ilvl w:val="3"/>
          <w:numId w:val="3"/>
        </w:numPr>
        <w:ind w:left="567"/>
      </w:pPr>
      <w:bookmarkStart w:id="9" w:name="_Ref397521363"/>
      <w:r w:rsidRPr="0080742D">
        <w:t xml:space="preserve">pēc tam </w:t>
      </w:r>
      <w:r w:rsidR="00DC3564">
        <w:t xml:space="preserve">ne ilgāk kā 5 minūtes </w:t>
      </w:r>
      <w:r w:rsidR="006A4D66">
        <w:t>pieteikuma iesniedzējs</w:t>
      </w:r>
      <w:r w:rsidRPr="0080742D">
        <w:t xml:space="preserve"> var uzdot jautājumus institūcijai</w:t>
      </w:r>
      <w:r w:rsidR="00DC3564">
        <w:t>,</w:t>
      </w:r>
      <w:r w:rsidRPr="0080742D">
        <w:t xml:space="preserve"> </w:t>
      </w:r>
      <w:r w:rsidR="00DC3564" w:rsidRPr="0080742D">
        <w:rPr>
          <w:rFonts w:cs="Times New Roman"/>
        </w:rPr>
        <w:t xml:space="preserve">kas izdevusi apstrīdēto </w:t>
      </w:r>
      <w:r w:rsidR="00DC3564">
        <w:rPr>
          <w:rFonts w:cs="Times New Roman"/>
        </w:rPr>
        <w:t xml:space="preserve">tiesību </w:t>
      </w:r>
      <w:r w:rsidR="00DC3564" w:rsidRPr="0080742D">
        <w:rPr>
          <w:rFonts w:cs="Times New Roman"/>
        </w:rPr>
        <w:t>aktu</w:t>
      </w:r>
      <w:r w:rsidR="00DC3564">
        <w:rPr>
          <w:rFonts w:cs="Times New Roman"/>
        </w:rPr>
        <w:t>/normu</w:t>
      </w:r>
      <w:r w:rsidRPr="0080742D">
        <w:t>;</w:t>
      </w:r>
      <w:bookmarkEnd w:id="9"/>
    </w:p>
    <w:p w:rsidR="00E3082D" w:rsidRPr="0080742D" w:rsidRDefault="00377635" w:rsidP="00367620">
      <w:pPr>
        <w:pStyle w:val="NoSpacing"/>
        <w:numPr>
          <w:ilvl w:val="3"/>
          <w:numId w:val="3"/>
        </w:numPr>
        <w:ind w:left="567"/>
      </w:pPr>
      <w:bookmarkStart w:id="10" w:name="_Ref397521369"/>
      <w:r w:rsidRPr="0080742D">
        <w:t>pēc tam ne ilgāk kā 5 minūtes institūcija</w:t>
      </w:r>
      <w:r w:rsidR="00DC3564">
        <w:t>,</w:t>
      </w:r>
      <w:r w:rsidRPr="0080742D">
        <w:t xml:space="preserve"> </w:t>
      </w:r>
      <w:r w:rsidR="00DC3564" w:rsidRPr="0080742D">
        <w:rPr>
          <w:rFonts w:cs="Times New Roman"/>
        </w:rPr>
        <w:t xml:space="preserve">kas izdevusi apstrīdēto </w:t>
      </w:r>
      <w:r w:rsidR="00DC3564">
        <w:rPr>
          <w:rFonts w:cs="Times New Roman"/>
        </w:rPr>
        <w:t xml:space="preserve">tiesību </w:t>
      </w:r>
      <w:r w:rsidR="00DC3564" w:rsidRPr="0080742D">
        <w:rPr>
          <w:rFonts w:cs="Times New Roman"/>
        </w:rPr>
        <w:t>aktu</w:t>
      </w:r>
      <w:r w:rsidR="00DC3564">
        <w:rPr>
          <w:rFonts w:cs="Times New Roman"/>
        </w:rPr>
        <w:t>/normu</w:t>
      </w:r>
      <w:r w:rsidRPr="0080742D">
        <w:t>, var uzdot jautājumus</w:t>
      </w:r>
      <w:r w:rsidR="00DC3564">
        <w:t xml:space="preserve"> </w:t>
      </w:r>
      <w:r w:rsidR="006A4D66">
        <w:t>pieteikuma</w:t>
      </w:r>
      <w:r w:rsidR="00DC3564">
        <w:t xml:space="preserve"> iesniedzējam</w:t>
      </w:r>
      <w:r w:rsidRPr="0080742D">
        <w:t>;</w:t>
      </w:r>
      <w:bookmarkEnd w:id="10"/>
    </w:p>
    <w:p w:rsidR="00E3082D" w:rsidRPr="0080742D" w:rsidRDefault="00377635" w:rsidP="00367620">
      <w:pPr>
        <w:pStyle w:val="NoSpacing"/>
        <w:numPr>
          <w:ilvl w:val="3"/>
          <w:numId w:val="3"/>
        </w:numPr>
        <w:ind w:left="567"/>
      </w:pPr>
      <w:r w:rsidRPr="0080742D">
        <w:t xml:space="preserve">pēc tam </w:t>
      </w:r>
      <w:r w:rsidR="006A4D66">
        <w:t>pieteikuma</w:t>
      </w:r>
      <w:r w:rsidR="00DC3564">
        <w:t xml:space="preserve"> iesniedzējs</w:t>
      </w:r>
      <w:r w:rsidRPr="0080742D">
        <w:t xml:space="preserve"> uzstājas ar ne vairāk kā 3 minūtes ilgu repliku par institūcijas</w:t>
      </w:r>
      <w:r w:rsidR="00DC3564">
        <w:t>,</w:t>
      </w:r>
      <w:r w:rsidRPr="0080742D">
        <w:t xml:space="preserve"> </w:t>
      </w:r>
      <w:r w:rsidR="00DC3564" w:rsidRPr="0080742D">
        <w:rPr>
          <w:rFonts w:cs="Times New Roman"/>
        </w:rPr>
        <w:t xml:space="preserve">kas izdevusi apstrīdēto </w:t>
      </w:r>
      <w:r w:rsidR="00DC3564">
        <w:rPr>
          <w:rFonts w:cs="Times New Roman"/>
        </w:rPr>
        <w:t xml:space="preserve">tiesību </w:t>
      </w:r>
      <w:r w:rsidR="00DC3564" w:rsidRPr="0080742D">
        <w:rPr>
          <w:rFonts w:cs="Times New Roman"/>
        </w:rPr>
        <w:t>aktu</w:t>
      </w:r>
      <w:r w:rsidR="00DC3564">
        <w:rPr>
          <w:rFonts w:cs="Times New Roman"/>
        </w:rPr>
        <w:t>/normu</w:t>
      </w:r>
      <w:r w:rsidRPr="0080742D">
        <w:t>, uzstāšan</w:t>
      </w:r>
      <w:r w:rsidR="00367620">
        <w:t>ās laikā sniegto argumentāciju;</w:t>
      </w:r>
    </w:p>
    <w:p w:rsidR="00E3082D" w:rsidRDefault="00377635" w:rsidP="00367620">
      <w:pPr>
        <w:pStyle w:val="NoSpacing"/>
        <w:numPr>
          <w:ilvl w:val="3"/>
          <w:numId w:val="3"/>
        </w:numPr>
        <w:ind w:left="567"/>
      </w:pPr>
      <w:r w:rsidRPr="0080742D">
        <w:t>visbeidzot, institūcija</w:t>
      </w:r>
      <w:r w:rsidR="00DC3564">
        <w:t>,</w:t>
      </w:r>
      <w:r w:rsidRPr="0080742D">
        <w:t xml:space="preserve"> </w:t>
      </w:r>
      <w:r w:rsidR="00DC3564" w:rsidRPr="0080742D">
        <w:rPr>
          <w:rFonts w:cs="Times New Roman"/>
        </w:rPr>
        <w:t xml:space="preserve">kas izdevusi apstrīdēto </w:t>
      </w:r>
      <w:r w:rsidR="00DC3564">
        <w:rPr>
          <w:rFonts w:cs="Times New Roman"/>
        </w:rPr>
        <w:t xml:space="preserve">tiesību </w:t>
      </w:r>
      <w:r w:rsidR="00DC3564" w:rsidRPr="0080742D">
        <w:rPr>
          <w:rFonts w:cs="Times New Roman"/>
        </w:rPr>
        <w:t>aktu</w:t>
      </w:r>
      <w:r w:rsidR="00DC3564">
        <w:rPr>
          <w:rFonts w:cs="Times New Roman"/>
        </w:rPr>
        <w:t>/normu</w:t>
      </w:r>
      <w:r w:rsidRPr="0080742D">
        <w:t>, uzstājas ar ne</w:t>
      </w:r>
      <w:r w:rsidR="00375CDE" w:rsidRPr="0080742D">
        <w:t xml:space="preserve"> </w:t>
      </w:r>
      <w:r w:rsidRPr="0080742D">
        <w:t>vairāk kā 3</w:t>
      </w:r>
      <w:r w:rsidR="00AC660A">
        <w:t> </w:t>
      </w:r>
      <w:r w:rsidRPr="0080742D">
        <w:t>minūtes ilgu atbildi uz repliku, kurā tiek atbildēts uz argumentiem, kurus</w:t>
      </w:r>
      <w:r w:rsidR="00375CDE" w:rsidRPr="0080742D">
        <w:t xml:space="preserve"> </w:t>
      </w:r>
      <w:r w:rsidR="006A4D66">
        <w:t>pieteikuma</w:t>
      </w:r>
      <w:r w:rsidR="00DC3564">
        <w:t xml:space="preserve"> iesniedzējs </w:t>
      </w:r>
      <w:r w:rsidRPr="0080742D">
        <w:t xml:space="preserve">izteicis </w:t>
      </w:r>
      <w:r w:rsidR="00367620">
        <w:t xml:space="preserve">savā </w:t>
      </w:r>
      <w:r w:rsidRPr="0080742D">
        <w:t>replikā</w:t>
      </w:r>
      <w:r w:rsidR="00367620">
        <w:t>;</w:t>
      </w:r>
    </w:p>
    <w:p w:rsidR="00367620" w:rsidRPr="0080742D" w:rsidRDefault="00367620" w:rsidP="00367620">
      <w:pPr>
        <w:pStyle w:val="NoSpacing"/>
        <w:numPr>
          <w:ilvl w:val="3"/>
          <w:numId w:val="3"/>
        </w:numPr>
        <w:ind w:left="567"/>
      </w:pPr>
      <w:r>
        <w:t>Visā komandu uzstāšanās laikā (gan argumentācijas, gan jautājumu, gan replikas laikā) tiesneši ir tiesīgi pārtraukt komandu un uzdot savus jautājumus.</w:t>
      </w:r>
    </w:p>
    <w:p w:rsidR="00E3082D" w:rsidRPr="0080742D" w:rsidRDefault="00377635" w:rsidP="00533E3A">
      <w:pPr>
        <w:pStyle w:val="NoSpacing"/>
      </w:pPr>
      <w:r w:rsidRPr="0080742D">
        <w:t xml:space="preserve">Fināla izspēlē </w:t>
      </w:r>
      <w:r w:rsidR="006C3487" w:rsidRPr="00C778C1">
        <w:rPr>
          <w:b/>
        </w:rPr>
        <w:fldChar w:fldCharType="begin"/>
      </w:r>
      <w:r w:rsidR="006C3487" w:rsidRPr="00C778C1">
        <w:rPr>
          <w:b/>
        </w:rPr>
        <w:instrText xml:space="preserve"> REF _Ref397521342 \n \h </w:instrText>
      </w:r>
      <w:r w:rsidR="005929E8" w:rsidRPr="00C778C1">
        <w:rPr>
          <w:b/>
        </w:rPr>
        <w:instrText xml:space="preserve"> \* MERGEFORMAT </w:instrText>
      </w:r>
      <w:r w:rsidR="006C3487" w:rsidRPr="00C778C1">
        <w:rPr>
          <w:b/>
        </w:rPr>
      </w:r>
      <w:r w:rsidR="006C3487" w:rsidRPr="00C778C1">
        <w:rPr>
          <w:b/>
        </w:rPr>
        <w:fldChar w:fldCharType="separate"/>
      </w:r>
      <w:r w:rsidR="00CA4A34" w:rsidRPr="00C778C1">
        <w:rPr>
          <w:b/>
        </w:rPr>
        <w:t>19.1.1</w:t>
      </w:r>
      <w:r w:rsidR="006C3487" w:rsidRPr="00C778C1">
        <w:rPr>
          <w:b/>
        </w:rPr>
        <w:fldChar w:fldCharType="end"/>
      </w:r>
      <w:r w:rsidRPr="00C778C1">
        <w:rPr>
          <w:b/>
        </w:rPr>
        <w:t>.</w:t>
      </w:r>
      <w:r w:rsidRPr="0080742D">
        <w:t xml:space="preserve"> un </w:t>
      </w:r>
      <w:r w:rsidR="006C3487" w:rsidRPr="00C778C1">
        <w:rPr>
          <w:b/>
        </w:rPr>
        <w:fldChar w:fldCharType="begin"/>
      </w:r>
      <w:r w:rsidR="006C3487" w:rsidRPr="00C778C1">
        <w:rPr>
          <w:b/>
        </w:rPr>
        <w:instrText xml:space="preserve"> REF _Ref397521349 \n \h </w:instrText>
      </w:r>
      <w:r w:rsidR="005929E8" w:rsidRPr="00C778C1">
        <w:rPr>
          <w:b/>
        </w:rPr>
        <w:instrText xml:space="preserve"> \* MERGEFORMAT </w:instrText>
      </w:r>
      <w:r w:rsidR="006C3487" w:rsidRPr="00C778C1">
        <w:rPr>
          <w:b/>
        </w:rPr>
      </w:r>
      <w:r w:rsidR="006C3487" w:rsidRPr="00C778C1">
        <w:rPr>
          <w:b/>
        </w:rPr>
        <w:fldChar w:fldCharType="separate"/>
      </w:r>
      <w:r w:rsidR="00CA4A34" w:rsidRPr="00C778C1">
        <w:rPr>
          <w:b/>
        </w:rPr>
        <w:t>19.1.2</w:t>
      </w:r>
      <w:r w:rsidR="006C3487" w:rsidRPr="00C778C1">
        <w:rPr>
          <w:b/>
        </w:rPr>
        <w:fldChar w:fldCharType="end"/>
      </w:r>
      <w:r w:rsidRPr="00C778C1">
        <w:rPr>
          <w:b/>
        </w:rPr>
        <w:t>.</w:t>
      </w:r>
      <w:r w:rsidRPr="0080742D">
        <w:t xml:space="preserve"> punktā minētais laiks ir </w:t>
      </w:r>
      <w:r w:rsidR="00914599">
        <w:t>35</w:t>
      </w:r>
      <w:r w:rsidRPr="0080742D">
        <w:t xml:space="preserve"> minūtes</w:t>
      </w:r>
      <w:r w:rsidR="005C5AF8">
        <w:t>,</w:t>
      </w:r>
      <w:r w:rsidRPr="0080742D">
        <w:t xml:space="preserve"> </w:t>
      </w:r>
      <w:r w:rsidR="006C3487" w:rsidRPr="00C778C1">
        <w:rPr>
          <w:b/>
        </w:rPr>
        <w:fldChar w:fldCharType="begin"/>
      </w:r>
      <w:r w:rsidR="006C3487" w:rsidRPr="00C778C1">
        <w:rPr>
          <w:b/>
        </w:rPr>
        <w:instrText xml:space="preserve"> REF _Ref397521363 \n \h </w:instrText>
      </w:r>
      <w:r w:rsidR="005929E8" w:rsidRPr="00C778C1">
        <w:rPr>
          <w:b/>
        </w:rPr>
        <w:instrText xml:space="preserve"> \* MERGEFORMAT </w:instrText>
      </w:r>
      <w:r w:rsidR="006C3487" w:rsidRPr="00C778C1">
        <w:rPr>
          <w:b/>
        </w:rPr>
      </w:r>
      <w:r w:rsidR="006C3487" w:rsidRPr="00C778C1">
        <w:rPr>
          <w:b/>
        </w:rPr>
        <w:fldChar w:fldCharType="separate"/>
      </w:r>
      <w:r w:rsidR="00CA4A34" w:rsidRPr="00C778C1">
        <w:rPr>
          <w:b/>
        </w:rPr>
        <w:t>19.1.3</w:t>
      </w:r>
      <w:r w:rsidR="006C3487" w:rsidRPr="00C778C1">
        <w:rPr>
          <w:b/>
        </w:rPr>
        <w:fldChar w:fldCharType="end"/>
      </w:r>
      <w:r w:rsidRPr="00C778C1">
        <w:rPr>
          <w:b/>
        </w:rPr>
        <w:t>.</w:t>
      </w:r>
      <w:r w:rsidR="00375CDE" w:rsidRPr="0080742D">
        <w:t xml:space="preserve"> </w:t>
      </w:r>
      <w:r w:rsidRPr="0080742D">
        <w:t xml:space="preserve">un </w:t>
      </w:r>
      <w:r w:rsidR="006C3487" w:rsidRPr="00C778C1">
        <w:rPr>
          <w:b/>
        </w:rPr>
        <w:fldChar w:fldCharType="begin"/>
      </w:r>
      <w:r w:rsidR="006C3487" w:rsidRPr="00C778C1">
        <w:rPr>
          <w:b/>
        </w:rPr>
        <w:instrText xml:space="preserve"> REF _Ref397521369 \n \h </w:instrText>
      </w:r>
      <w:r w:rsidR="005929E8" w:rsidRPr="00C778C1">
        <w:rPr>
          <w:b/>
        </w:rPr>
        <w:instrText xml:space="preserve"> \* MERGEFORMAT </w:instrText>
      </w:r>
      <w:r w:rsidR="006C3487" w:rsidRPr="00C778C1">
        <w:rPr>
          <w:b/>
        </w:rPr>
      </w:r>
      <w:r w:rsidR="006C3487" w:rsidRPr="00C778C1">
        <w:rPr>
          <w:b/>
        </w:rPr>
        <w:fldChar w:fldCharType="separate"/>
      </w:r>
      <w:r w:rsidR="00CA4A34" w:rsidRPr="00C778C1">
        <w:rPr>
          <w:b/>
        </w:rPr>
        <w:t>19.1.4</w:t>
      </w:r>
      <w:r w:rsidR="006C3487" w:rsidRPr="00C778C1">
        <w:rPr>
          <w:b/>
        </w:rPr>
        <w:fldChar w:fldCharType="end"/>
      </w:r>
      <w:r w:rsidRPr="00C778C1">
        <w:rPr>
          <w:b/>
        </w:rPr>
        <w:t>.</w:t>
      </w:r>
      <w:r w:rsidRPr="0080742D">
        <w:t xml:space="preserve"> punktos minētais laiks ir </w:t>
      </w:r>
      <w:r w:rsidR="005C5AF8">
        <w:t>7</w:t>
      </w:r>
      <w:r w:rsidRPr="0080742D">
        <w:t xml:space="preserve"> minūtes</w:t>
      </w:r>
      <w:r w:rsidR="005C5AF8">
        <w:t xml:space="preserve">, savukārt </w:t>
      </w:r>
      <w:r w:rsidR="005C5AF8">
        <w:rPr>
          <w:b/>
          <w:bCs/>
        </w:rPr>
        <w:t>19.1.5.</w:t>
      </w:r>
      <w:r w:rsidR="00D812DB">
        <w:rPr>
          <w:b/>
          <w:bCs/>
        </w:rPr>
        <w:t xml:space="preserve"> </w:t>
      </w:r>
      <w:r w:rsidR="00D812DB">
        <w:rPr>
          <w:bCs/>
        </w:rPr>
        <w:t xml:space="preserve">un </w:t>
      </w:r>
      <w:r w:rsidR="00D812DB">
        <w:rPr>
          <w:b/>
          <w:bCs/>
        </w:rPr>
        <w:t xml:space="preserve">19.1.6. </w:t>
      </w:r>
      <w:r w:rsidR="005C5AF8">
        <w:t>punktā norādītais laiks ir 3 minūtes.</w:t>
      </w:r>
    </w:p>
    <w:p w:rsidR="00E3082D" w:rsidRPr="0080742D" w:rsidRDefault="00377635" w:rsidP="00533E3A">
      <w:pPr>
        <w:pStyle w:val="NoSpacing"/>
      </w:pPr>
      <w:r w:rsidRPr="0080742D">
        <w:t>Laika ska</w:t>
      </w:r>
      <w:r w:rsidRPr="00A20B44">
        <w:t>itīšana netiek apturēta</w:t>
      </w:r>
      <w:r w:rsidR="00367620" w:rsidRPr="00A20B44">
        <w:t>, ja</w:t>
      </w:r>
      <w:r w:rsidRPr="00A20B44">
        <w:t xml:space="preserve"> tiesneši uzdod jautājumus un komandas atbild</w:t>
      </w:r>
      <w:r w:rsidR="00375CDE" w:rsidRPr="00A20B44">
        <w:t xml:space="preserve"> </w:t>
      </w:r>
      <w:r w:rsidRPr="00A20B44">
        <w:t>uz tiesnešu jautājumiem.</w:t>
      </w:r>
    </w:p>
    <w:p w:rsidR="00E3082D" w:rsidRPr="0080742D" w:rsidRDefault="00377635" w:rsidP="00533E3A">
      <w:pPr>
        <w:pStyle w:val="NoSpacing"/>
      </w:pPr>
      <w:r w:rsidRPr="0080742D">
        <w:t>Uzstāšanās laikā komandas locekļiem pēc tiesas sēdes priekšsēdētāja atļaujas saņemšanas ir</w:t>
      </w:r>
      <w:r w:rsidR="00375CDE" w:rsidRPr="0080742D">
        <w:t xml:space="preserve"> </w:t>
      </w:r>
      <w:r w:rsidRPr="0080742D">
        <w:t>tiesības savā starpā konsultēties, lai atbildētu uz tiesneša uzdoto jautājumu.</w:t>
      </w:r>
      <w:r w:rsidR="00367620">
        <w:t xml:space="preserve"> Laika skaitīšana netiek apturēta uz konsultēšanās brīdi.</w:t>
      </w:r>
    </w:p>
    <w:p w:rsidR="00E3082D" w:rsidRDefault="00377635" w:rsidP="00533E3A">
      <w:pPr>
        <w:pStyle w:val="NoSpacing"/>
      </w:pPr>
      <w:r w:rsidRPr="0080742D">
        <w:t xml:space="preserve">Komanda var lūgt pagarināt </w:t>
      </w:r>
      <w:r w:rsidR="00F4379B" w:rsidRPr="00C778C1">
        <w:rPr>
          <w:b/>
        </w:rPr>
        <w:fldChar w:fldCharType="begin"/>
      </w:r>
      <w:r w:rsidR="00F4379B" w:rsidRPr="00C778C1">
        <w:rPr>
          <w:b/>
        </w:rPr>
        <w:instrText xml:space="preserve"> REF _Ref397521342 \n \h </w:instrText>
      </w:r>
      <w:r w:rsidR="005929E8" w:rsidRPr="00C778C1">
        <w:rPr>
          <w:b/>
        </w:rPr>
        <w:instrText xml:space="preserve"> \* MERGEFORMAT </w:instrText>
      </w:r>
      <w:r w:rsidR="00F4379B" w:rsidRPr="00C778C1">
        <w:rPr>
          <w:b/>
        </w:rPr>
      </w:r>
      <w:r w:rsidR="00F4379B" w:rsidRPr="00C778C1">
        <w:rPr>
          <w:b/>
        </w:rPr>
        <w:fldChar w:fldCharType="separate"/>
      </w:r>
      <w:r w:rsidR="00CA4A34" w:rsidRPr="00C778C1">
        <w:rPr>
          <w:b/>
        </w:rPr>
        <w:t>19.1.1</w:t>
      </w:r>
      <w:r w:rsidR="00F4379B" w:rsidRPr="00C778C1">
        <w:rPr>
          <w:b/>
        </w:rPr>
        <w:fldChar w:fldCharType="end"/>
      </w:r>
      <w:r w:rsidRPr="00C778C1">
        <w:rPr>
          <w:b/>
        </w:rPr>
        <w:t>.</w:t>
      </w:r>
      <w:r w:rsidRPr="0080742D">
        <w:t xml:space="preserve"> vai </w:t>
      </w:r>
      <w:r w:rsidR="00F4379B" w:rsidRPr="00C778C1">
        <w:rPr>
          <w:b/>
        </w:rPr>
        <w:fldChar w:fldCharType="begin"/>
      </w:r>
      <w:r w:rsidR="00F4379B" w:rsidRPr="00C778C1">
        <w:rPr>
          <w:b/>
        </w:rPr>
        <w:instrText xml:space="preserve"> REF _Ref397521349 \n \h </w:instrText>
      </w:r>
      <w:r w:rsidR="005929E8" w:rsidRPr="00C778C1">
        <w:rPr>
          <w:b/>
        </w:rPr>
        <w:instrText xml:space="preserve"> \* MERGEFORMAT </w:instrText>
      </w:r>
      <w:r w:rsidR="00F4379B" w:rsidRPr="00C778C1">
        <w:rPr>
          <w:b/>
        </w:rPr>
      </w:r>
      <w:r w:rsidR="00F4379B" w:rsidRPr="00C778C1">
        <w:rPr>
          <w:b/>
        </w:rPr>
        <w:fldChar w:fldCharType="separate"/>
      </w:r>
      <w:r w:rsidR="00CA4A34" w:rsidRPr="00C778C1">
        <w:rPr>
          <w:b/>
        </w:rPr>
        <w:t>19.1.2</w:t>
      </w:r>
      <w:r w:rsidR="00F4379B" w:rsidRPr="00C778C1">
        <w:rPr>
          <w:b/>
        </w:rPr>
        <w:fldChar w:fldCharType="end"/>
      </w:r>
      <w:r w:rsidRPr="00C778C1">
        <w:rPr>
          <w:b/>
        </w:rPr>
        <w:t>.</w:t>
      </w:r>
      <w:r w:rsidRPr="0080742D">
        <w:t xml:space="preserve"> punktā minēto laiku. Tiesai ir tiesības</w:t>
      </w:r>
      <w:r w:rsidR="00375CDE" w:rsidRPr="0080742D">
        <w:t xml:space="preserve"> </w:t>
      </w:r>
      <w:r w:rsidRPr="0080742D">
        <w:t xml:space="preserve">komandai </w:t>
      </w:r>
      <w:r w:rsidRPr="0080742D">
        <w:lastRenderedPageBreak/>
        <w:t>papildlaiku piešķirt, taču ne ilgāku par 5 minūtēm. Gadījumā, ja komanda pamatlaikā</w:t>
      </w:r>
      <w:r w:rsidR="00375CDE" w:rsidRPr="0080742D">
        <w:t xml:space="preserve"> </w:t>
      </w:r>
      <w:r w:rsidRPr="0080742D">
        <w:t>nav spējusi izklāstīt viedokli par vairāk nekā vienu jautājumu, turklāt tas nav noticis komandas</w:t>
      </w:r>
      <w:r w:rsidR="00375CDE" w:rsidRPr="0080742D">
        <w:t xml:space="preserve"> </w:t>
      </w:r>
      <w:r w:rsidRPr="0080742D">
        <w:t>vainas dēļ, tiesai ir tiesības piešķirt līdz 7 minūtēm ilgu papildlaiku.</w:t>
      </w:r>
      <w:r w:rsidR="00367620">
        <w:t xml:space="preserve"> Tiesneši ir tiesīgi komandas-pretinieces uzstāšanās laiku automātiski pagarināt par pirmajai komandai atvēlēto </w:t>
      </w:r>
      <w:r w:rsidR="00A20B44">
        <w:t>papild</w:t>
      </w:r>
      <w:r w:rsidR="00367620">
        <w:t>laiku par to iepriekš paziņojot.</w:t>
      </w:r>
    </w:p>
    <w:p w:rsidR="00F32858" w:rsidRPr="0080742D" w:rsidRDefault="00F32858" w:rsidP="005C5AF8">
      <w:pPr>
        <w:pStyle w:val="NoSpacing"/>
        <w:numPr>
          <w:ilvl w:val="0"/>
          <w:numId w:val="0"/>
        </w:numPr>
      </w:pPr>
    </w:p>
    <w:p w:rsidR="00375CDE" w:rsidRPr="0080742D" w:rsidRDefault="00EE47D3" w:rsidP="00C778C1">
      <w:pPr>
        <w:pStyle w:val="Heading2"/>
        <w:spacing w:before="0"/>
        <w:jc w:val="center"/>
      </w:pPr>
      <w:r>
        <w:t>Uzstāšanās saturs</w:t>
      </w:r>
    </w:p>
    <w:p w:rsidR="00E3082D" w:rsidRDefault="00377635" w:rsidP="00F32858">
      <w:pPr>
        <w:pStyle w:val="NoSpacing"/>
      </w:pPr>
      <w:r w:rsidRPr="0080742D">
        <w:t>Izspēle</w:t>
      </w:r>
      <w:r w:rsidR="00F14D1B">
        <w:t xml:space="preserve">s </w:t>
      </w:r>
      <w:r w:rsidR="003E4D7E">
        <w:t xml:space="preserve">mutvārdu </w:t>
      </w:r>
      <w:r w:rsidR="00F14D1B">
        <w:t xml:space="preserve">daļā komandas nav </w:t>
      </w:r>
      <w:r w:rsidRPr="0080742D">
        <w:t>ierobežotas ar rakstiskajā analīzē paustajiem</w:t>
      </w:r>
      <w:r w:rsidR="00375CDE" w:rsidRPr="0080742D">
        <w:t xml:space="preserve"> </w:t>
      </w:r>
      <w:r w:rsidRPr="0080742D">
        <w:t>argumentiem</w:t>
      </w:r>
      <w:r w:rsidR="005C5AF8">
        <w:t>. Uzstāšanās laikā dalībnieki drīkst izmantot tikai materiālus drukātā formā.</w:t>
      </w:r>
    </w:p>
    <w:p w:rsidR="00F32858" w:rsidRDefault="005C5AF8" w:rsidP="00F32858">
      <w:pPr>
        <w:pStyle w:val="NoSpacing"/>
      </w:pPr>
      <w:r>
        <w:t xml:space="preserve">Komandu dalībnieku rīcības atbilstību </w:t>
      </w:r>
      <w:r>
        <w:rPr>
          <w:b/>
          <w:bCs/>
        </w:rPr>
        <w:t xml:space="preserve">20.1. </w:t>
      </w:r>
      <w:r>
        <w:t xml:space="preserve">punktā norādītajām prasībām izspēles laikā </w:t>
      </w:r>
      <w:r w:rsidR="00A20B44">
        <w:t>uzrauga</w:t>
      </w:r>
      <w:r>
        <w:t xml:space="preserve"> laika tiesnesis, kurš pārkāpuma ievērošanas gadījumā informē tiesas sastāvu.</w:t>
      </w:r>
      <w:r w:rsidR="00F32858">
        <w:t xml:space="preserve"> </w:t>
      </w:r>
      <w:r>
        <w:t>Tāpat</w:t>
      </w:r>
      <w:r w:rsidR="00F32858">
        <w:t xml:space="preserve">, ja tiesnesis pamana, ka kāda no komandām pārkāpj </w:t>
      </w:r>
      <w:r w:rsidR="00F32858">
        <w:rPr>
          <w:b/>
          <w:bCs/>
        </w:rPr>
        <w:t xml:space="preserve">20.1. </w:t>
      </w:r>
      <w:r w:rsidR="00F32858">
        <w:t xml:space="preserve">punktā </w:t>
      </w:r>
      <w:r>
        <w:t>ietverto noteikumu</w:t>
      </w:r>
      <w:r w:rsidR="00F32858">
        <w:t xml:space="preserve">, </w:t>
      </w:r>
      <w:r w:rsidR="00A20B44">
        <w:t>tiesnesis</w:t>
      </w:r>
      <w:r w:rsidR="00F32858">
        <w:t xml:space="preserve"> </w:t>
      </w:r>
      <w:r>
        <w:t xml:space="preserve">par to informē tiesas sastāvu. Gadījumā, ja tiek konstatēts </w:t>
      </w:r>
      <w:r>
        <w:rPr>
          <w:b/>
          <w:bCs/>
        </w:rPr>
        <w:t xml:space="preserve">20.1. </w:t>
      </w:r>
      <w:r w:rsidR="00A20B44" w:rsidRPr="00A20B44">
        <w:rPr>
          <w:bCs/>
        </w:rPr>
        <w:t>punkta</w:t>
      </w:r>
      <w:r w:rsidR="00A20B44">
        <w:rPr>
          <w:b/>
          <w:bCs/>
        </w:rPr>
        <w:t xml:space="preserve"> </w:t>
      </w:r>
      <w:r>
        <w:t xml:space="preserve">pārkāpums, tiesas sastāvs </w:t>
      </w:r>
      <w:r w:rsidR="00F32858">
        <w:t>var pieņemt lēmumu par komandas diskvalifikāciju vai soda punktu piešķiršanu bez brīdinājuma izteikšanas.</w:t>
      </w:r>
    </w:p>
    <w:p w:rsidR="00F32858" w:rsidRPr="0080742D" w:rsidRDefault="00F32858" w:rsidP="005C5AF8">
      <w:pPr>
        <w:pStyle w:val="NoSpacing"/>
        <w:numPr>
          <w:ilvl w:val="0"/>
          <w:numId w:val="0"/>
        </w:numPr>
      </w:pPr>
    </w:p>
    <w:p w:rsidR="00375CDE" w:rsidRPr="0080742D" w:rsidRDefault="003E4D7E" w:rsidP="00C778C1">
      <w:pPr>
        <w:pStyle w:val="Heading2"/>
        <w:spacing w:before="0"/>
        <w:jc w:val="center"/>
      </w:pPr>
      <w:r w:rsidRPr="0080742D">
        <w:t>Mut</w:t>
      </w:r>
      <w:r>
        <w:t>vārdu</w:t>
      </w:r>
      <w:r w:rsidRPr="0080742D">
        <w:t xml:space="preserve"> </w:t>
      </w:r>
      <w:r w:rsidR="00377635" w:rsidRPr="0080742D">
        <w:t xml:space="preserve">un </w:t>
      </w:r>
      <w:r w:rsidRPr="0080742D">
        <w:t>rakst</w:t>
      </w:r>
      <w:r>
        <w:t>veida</w:t>
      </w:r>
      <w:r w:rsidRPr="0080742D">
        <w:t xml:space="preserve"> </w:t>
      </w:r>
      <w:r w:rsidR="00377635" w:rsidRPr="0080742D">
        <w:t>saziņa</w:t>
      </w:r>
    </w:p>
    <w:p w:rsidR="00F4379B" w:rsidRDefault="00377635" w:rsidP="00484DCA">
      <w:pPr>
        <w:pStyle w:val="NoSpacing"/>
      </w:pPr>
      <w:r w:rsidRPr="0080742D">
        <w:t xml:space="preserve">Izspēles norises laikā </w:t>
      </w:r>
      <w:r w:rsidR="00413101">
        <w:t>s</w:t>
      </w:r>
      <w:r w:rsidRPr="0080742D">
        <w:t>aziņu starp komandas locekļiem veic tā, lai netiktu traucēts Izspēles process.</w:t>
      </w:r>
    </w:p>
    <w:p w:rsidR="00E3082D" w:rsidRDefault="00377635" w:rsidP="000B7101">
      <w:pPr>
        <w:pStyle w:val="NoSpacing"/>
      </w:pPr>
      <w:r w:rsidRPr="0080742D">
        <w:t xml:space="preserve">Izspēles laikā </w:t>
      </w:r>
      <w:r w:rsidR="004F4407">
        <w:t>dalībniekiem ir aizliegts sazināties ar Izspēles skatītājiem.</w:t>
      </w:r>
    </w:p>
    <w:p w:rsidR="008A0D61" w:rsidRPr="0080742D" w:rsidRDefault="008A0D61" w:rsidP="005C5AF8">
      <w:pPr>
        <w:pStyle w:val="NoSpacing"/>
        <w:numPr>
          <w:ilvl w:val="0"/>
          <w:numId w:val="0"/>
        </w:numPr>
      </w:pPr>
    </w:p>
    <w:p w:rsidR="00E3082D" w:rsidRDefault="00A20B44" w:rsidP="00C778C1">
      <w:pPr>
        <w:pStyle w:val="Heading1"/>
        <w:spacing w:before="0" w:after="0"/>
      </w:pPr>
      <w:r>
        <w:t>Izspēļu v</w:t>
      </w:r>
      <w:r w:rsidR="00377635" w:rsidRPr="0080742D">
        <w:t>ērtēšana</w:t>
      </w:r>
    </w:p>
    <w:p w:rsidR="001F081B" w:rsidRPr="001F081B" w:rsidRDefault="001F081B" w:rsidP="001F081B">
      <w:pPr>
        <w:pStyle w:val="Normal1"/>
      </w:pPr>
    </w:p>
    <w:p w:rsidR="00375CDE" w:rsidRPr="0080742D" w:rsidRDefault="00A20B44" w:rsidP="00C778C1">
      <w:pPr>
        <w:pStyle w:val="Heading2"/>
        <w:spacing w:before="0"/>
        <w:jc w:val="center"/>
      </w:pPr>
      <w:r>
        <w:t>Vērtēšanas pamats</w:t>
      </w:r>
    </w:p>
    <w:p w:rsidR="00A20B44" w:rsidRDefault="00A20B44" w:rsidP="00A20B44">
      <w:pPr>
        <w:pStyle w:val="NoSpacing"/>
        <w:numPr>
          <w:ilvl w:val="0"/>
          <w:numId w:val="0"/>
        </w:numPr>
      </w:pPr>
      <w:r w:rsidRPr="005B44CF">
        <w:t>Izspēles tiesneši vērtē Komandas sniegumu</w:t>
      </w:r>
      <w:r>
        <w:t xml:space="preserve"> </w:t>
      </w:r>
      <w:r w:rsidRPr="00704493">
        <w:rPr>
          <w:color w:val="000000" w:themeColor="text1"/>
        </w:rPr>
        <w:t xml:space="preserve">(kāzusa analīzi un uzstāšanos) ņemot vērā Nolikuma </w:t>
      </w:r>
      <w:hyperlink w:anchor="_Vērtēšana_priekšsacīkstēs" w:history="1">
        <w:r w:rsidR="00E83DFD" w:rsidRPr="00704493">
          <w:rPr>
            <w:rStyle w:val="Hyperlink"/>
            <w:b/>
            <w:color w:val="000000" w:themeColor="text1"/>
            <w:u w:val="none"/>
          </w:rPr>
          <w:t>23</w:t>
        </w:r>
      </w:hyperlink>
      <w:r w:rsidR="00E83DFD" w:rsidRPr="00704493">
        <w:rPr>
          <w:b/>
          <w:color w:val="000000" w:themeColor="text1"/>
        </w:rPr>
        <w:t>.</w:t>
      </w:r>
      <w:r w:rsidR="0084111D" w:rsidRPr="00704493">
        <w:rPr>
          <w:color w:val="000000" w:themeColor="text1"/>
        </w:rPr>
        <w:t xml:space="preserve">, </w:t>
      </w:r>
      <w:hyperlink w:anchor="_Kāzusa_analīzes_vērtēšana:" w:history="1">
        <w:r w:rsidR="00E83DFD" w:rsidRPr="00704493">
          <w:rPr>
            <w:rStyle w:val="Hyperlink"/>
            <w:b/>
            <w:color w:val="000000" w:themeColor="text1"/>
            <w:u w:val="none"/>
          </w:rPr>
          <w:t>24</w:t>
        </w:r>
      </w:hyperlink>
      <w:r w:rsidRPr="00704493">
        <w:rPr>
          <w:b/>
          <w:color w:val="000000" w:themeColor="text1"/>
        </w:rPr>
        <w:t>.</w:t>
      </w:r>
      <w:r w:rsidR="0084111D" w:rsidRPr="00704493">
        <w:rPr>
          <w:b/>
          <w:color w:val="000000" w:themeColor="text1"/>
        </w:rPr>
        <w:t xml:space="preserve"> </w:t>
      </w:r>
      <w:r w:rsidR="0084111D" w:rsidRPr="00704493">
        <w:rPr>
          <w:color w:val="000000" w:themeColor="text1"/>
        </w:rPr>
        <w:t>un</w:t>
      </w:r>
      <w:r w:rsidR="0084111D" w:rsidRPr="00704493">
        <w:rPr>
          <w:b/>
          <w:color w:val="000000" w:themeColor="text1"/>
        </w:rPr>
        <w:t xml:space="preserve"> </w:t>
      </w:r>
      <w:hyperlink w:anchor="_Uzstāšanās_vērtēšanas_kārtība:" w:history="1">
        <w:r w:rsidR="0084111D" w:rsidRPr="00704493">
          <w:rPr>
            <w:rStyle w:val="Hyperlink"/>
            <w:b/>
            <w:color w:val="000000" w:themeColor="text1"/>
            <w:u w:val="none"/>
          </w:rPr>
          <w:t>25</w:t>
        </w:r>
      </w:hyperlink>
      <w:r w:rsidR="0084111D" w:rsidRPr="00704493">
        <w:rPr>
          <w:b/>
          <w:color w:val="000000" w:themeColor="text1"/>
        </w:rPr>
        <w:t>.</w:t>
      </w:r>
      <w:r w:rsidRPr="00704493">
        <w:rPr>
          <w:color w:val="000000" w:themeColor="text1"/>
        </w:rPr>
        <w:t xml:space="preserve"> punktā norādītos kritērijus.</w:t>
      </w:r>
    </w:p>
    <w:p w:rsidR="00A20B44" w:rsidRDefault="00A20B44" w:rsidP="00A20B44">
      <w:pPr>
        <w:pStyle w:val="Heading2"/>
        <w:jc w:val="center"/>
      </w:pPr>
      <w:bookmarkStart w:id="11" w:name="_Vērtēšana_priekšsacīkstēs"/>
      <w:bookmarkEnd w:id="11"/>
      <w:r>
        <w:t>Vērtēšana priekšsacīkstēs</w:t>
      </w:r>
    </w:p>
    <w:p w:rsidR="00D1340D" w:rsidRDefault="00A20B44" w:rsidP="0084111D">
      <w:pPr>
        <w:pStyle w:val="NoSpacing"/>
      </w:pPr>
      <w:r>
        <w:t xml:space="preserve">Komandas vērtēšana priekšsacīkstēs </w:t>
      </w:r>
      <w:r w:rsidR="00E83DFD">
        <w:t>notiek divās daļās –</w:t>
      </w:r>
      <w:r>
        <w:t xml:space="preserve"> Kāzusa analīzes vērtēšana un uzstāšanās vērtē</w:t>
      </w:r>
      <w:r w:rsidR="00704493">
        <w:t>šana</w:t>
      </w:r>
      <w:r w:rsidR="00E83DFD">
        <w:t>:</w:t>
      </w:r>
    </w:p>
    <w:p w:rsidR="00D1340D" w:rsidRDefault="00A20B44" w:rsidP="0084111D">
      <w:pPr>
        <w:pStyle w:val="NoSpacing"/>
        <w:numPr>
          <w:ilvl w:val="3"/>
          <w:numId w:val="3"/>
        </w:numPr>
      </w:pPr>
      <w:r>
        <w:t>Katrs tiesnesis katru Kāzusa analīzi vērtē skalā no 50 līdz 100 punktiem.</w:t>
      </w:r>
    </w:p>
    <w:p w:rsidR="00A20B44" w:rsidRDefault="00A20B44" w:rsidP="0084111D">
      <w:pPr>
        <w:pStyle w:val="NoSpacing"/>
        <w:numPr>
          <w:ilvl w:val="3"/>
          <w:numId w:val="3"/>
        </w:numPr>
      </w:pPr>
      <w:r>
        <w:t>Katrs tiesnesis komandas uzstāšanos vērtē skalā no 50 līdz 100 punktiem.</w:t>
      </w:r>
    </w:p>
    <w:p w:rsidR="00E3082D" w:rsidRPr="001F081B" w:rsidRDefault="00377635" w:rsidP="00134B17">
      <w:pPr>
        <w:pStyle w:val="Heading2"/>
        <w:jc w:val="center"/>
      </w:pPr>
      <w:bookmarkStart w:id="12" w:name="_Kāzusa_analīzes_vērtēšana:"/>
      <w:bookmarkEnd w:id="12"/>
      <w:r w:rsidRPr="001F081B">
        <w:t xml:space="preserve">Kāzusa analīzes </w:t>
      </w:r>
      <w:r w:rsidR="00A20B44" w:rsidRPr="001F081B">
        <w:t>vērtēšana</w:t>
      </w:r>
      <w:r w:rsidR="00E83DFD" w:rsidRPr="001F081B">
        <w:t>:</w:t>
      </w:r>
    </w:p>
    <w:p w:rsidR="00A20B44" w:rsidRDefault="00A20B44" w:rsidP="0084111D">
      <w:pPr>
        <w:pStyle w:val="NoSpacing"/>
      </w:pPr>
      <w:r>
        <w:t xml:space="preserve">Kāzusa analīzi vērtē izspēles tiesneši. Nepieciešamības gadījumā rakstisko darbu vērtēšanai </w:t>
      </w:r>
      <w:r>
        <w:lastRenderedPageBreak/>
        <w:t>organizatoru komanda pieaicina arī citus ekspertus.</w:t>
      </w:r>
    </w:p>
    <w:p w:rsidR="00A20B44" w:rsidRPr="00A20B44" w:rsidRDefault="00A20B44" w:rsidP="0084111D">
      <w:pPr>
        <w:pStyle w:val="NoSpacing"/>
      </w:pPr>
      <w:r>
        <w:t>Kāzusa analīzes vērtē pēc šādiem kritērijiem:</w:t>
      </w:r>
    </w:p>
    <w:p w:rsidR="0038648D" w:rsidRDefault="00377635" w:rsidP="0084111D">
      <w:pPr>
        <w:pStyle w:val="NoSpacing"/>
        <w:numPr>
          <w:ilvl w:val="3"/>
          <w:numId w:val="3"/>
        </w:numPr>
      </w:pPr>
      <w:r w:rsidRPr="0080742D">
        <w:t xml:space="preserve">forma (atbilstība Nolikuma </w:t>
      </w:r>
      <w:r w:rsidR="00413101">
        <w:fldChar w:fldCharType="begin"/>
      </w:r>
      <w:r w:rsidR="00413101">
        <w:instrText xml:space="preserve"> REF _Ref397521478 \n \h </w:instrText>
      </w:r>
      <w:r w:rsidR="005929E8">
        <w:instrText xml:space="preserve"> \* MERGEFORMAT </w:instrText>
      </w:r>
      <w:r w:rsidR="00413101">
        <w:fldChar w:fldCharType="separate"/>
      </w:r>
      <w:r w:rsidR="00CA4A34">
        <w:t>11</w:t>
      </w:r>
      <w:r w:rsidR="00413101">
        <w:fldChar w:fldCharType="end"/>
      </w:r>
      <w:r w:rsidRPr="0080742D">
        <w:t xml:space="preserve">. punkta prasībām) </w:t>
      </w:r>
      <w:r w:rsidR="001E2156">
        <w:t>–</w:t>
      </w:r>
      <w:r w:rsidR="000A5C69">
        <w:t xml:space="preserve"> </w:t>
      </w:r>
      <w:r w:rsidR="005C5AF8">
        <w:t>5 līdz</w:t>
      </w:r>
      <w:r w:rsidR="000A5C69">
        <w:t xml:space="preserve"> 1</w:t>
      </w:r>
      <w:r w:rsidRPr="0080742D">
        <w:t>5</w:t>
      </w:r>
      <w:r w:rsidR="005C5AF8">
        <w:t xml:space="preserve"> punkti</w:t>
      </w:r>
      <w:r w:rsidRPr="0080742D">
        <w:t>;</w:t>
      </w:r>
    </w:p>
    <w:p w:rsidR="00E3082D" w:rsidRPr="0080742D" w:rsidRDefault="00377635" w:rsidP="0084111D">
      <w:pPr>
        <w:pStyle w:val="NoSpacing"/>
        <w:numPr>
          <w:ilvl w:val="3"/>
          <w:numId w:val="3"/>
        </w:numPr>
      </w:pPr>
      <w:r w:rsidRPr="0080742D">
        <w:t>saturs (izvirzīto argumentu oriģinalitāte, pamatotība, skaidrība, izkārtojums, tiesību</w:t>
      </w:r>
      <w:r w:rsidR="00375CDE" w:rsidRPr="0080742D">
        <w:t xml:space="preserve"> </w:t>
      </w:r>
      <w:r w:rsidRPr="0080742D">
        <w:t xml:space="preserve">avotu izmantošana) </w:t>
      </w:r>
      <w:r w:rsidR="001E2156">
        <w:t>–</w:t>
      </w:r>
      <w:r w:rsidRPr="0080742D">
        <w:t xml:space="preserve"> </w:t>
      </w:r>
      <w:r w:rsidR="00A20B44">
        <w:t>45</w:t>
      </w:r>
      <w:r w:rsidR="005C5AF8">
        <w:t xml:space="preserve"> līdz</w:t>
      </w:r>
      <w:r w:rsidR="000A5C69">
        <w:t xml:space="preserve"> 8</w:t>
      </w:r>
      <w:r w:rsidRPr="0080742D">
        <w:t>5</w:t>
      </w:r>
      <w:r w:rsidR="005C5AF8">
        <w:t xml:space="preserve"> punkti</w:t>
      </w:r>
      <w:r w:rsidRPr="0080742D">
        <w:t>.</w:t>
      </w:r>
    </w:p>
    <w:p w:rsidR="00EE47D3" w:rsidRPr="001F081B" w:rsidRDefault="00A20B44" w:rsidP="00134B17">
      <w:pPr>
        <w:pStyle w:val="Heading2"/>
        <w:jc w:val="center"/>
      </w:pPr>
      <w:bookmarkStart w:id="13" w:name="_Uzstāšanās_vērtēšanas_kārtība:"/>
      <w:bookmarkEnd w:id="13"/>
      <w:r w:rsidRPr="001F081B">
        <w:t>Uzstāšanās vērtēšanas kārtība</w:t>
      </w:r>
      <w:r w:rsidR="0038648D" w:rsidRPr="001F081B">
        <w:t>:</w:t>
      </w:r>
    </w:p>
    <w:p w:rsidR="00E3082D" w:rsidRPr="0080742D" w:rsidRDefault="00377635" w:rsidP="0084111D">
      <w:pPr>
        <w:pStyle w:val="NoSpacing"/>
      </w:pPr>
      <w:bookmarkStart w:id="14" w:name="_Ref397521520"/>
      <w:r w:rsidRPr="0080742D">
        <w:t xml:space="preserve">Katrā priekšsacīkšu izspēlē katrs tiesnesis komandas </w:t>
      </w:r>
      <w:r w:rsidR="00587ABA">
        <w:t xml:space="preserve">dalībnieku </w:t>
      </w:r>
      <w:r w:rsidRPr="0080742D">
        <w:t>sniegumu novērtē pēc šādiem</w:t>
      </w:r>
      <w:r w:rsidR="00375CDE" w:rsidRPr="0080742D">
        <w:t xml:space="preserve"> </w:t>
      </w:r>
      <w:r w:rsidRPr="0080742D">
        <w:t>kritērijiem:</w:t>
      </w:r>
      <w:bookmarkEnd w:id="14"/>
    </w:p>
    <w:p w:rsidR="00E3082D" w:rsidRPr="0080742D" w:rsidRDefault="00377635" w:rsidP="0084111D">
      <w:pPr>
        <w:pStyle w:val="NoSpacing"/>
        <w:numPr>
          <w:ilvl w:val="3"/>
          <w:numId w:val="3"/>
        </w:numPr>
      </w:pPr>
      <w:r w:rsidRPr="0080742D">
        <w:t>uzstāšanās forma (oratora sniegums, uzstāšanās stils, pieklājība, procesa formas</w:t>
      </w:r>
      <w:r w:rsidR="00375CDE" w:rsidRPr="0080742D">
        <w:t xml:space="preserve"> </w:t>
      </w:r>
      <w:r w:rsidRPr="0080742D">
        <w:t xml:space="preserve">ievērošana) </w:t>
      </w:r>
      <w:r w:rsidR="001E2156">
        <w:t>–</w:t>
      </w:r>
      <w:r w:rsidRPr="0080742D">
        <w:t xml:space="preserve"> </w:t>
      </w:r>
      <w:r w:rsidR="00A20B44">
        <w:t>15</w:t>
      </w:r>
      <w:r w:rsidR="005C5AF8">
        <w:t xml:space="preserve"> līdz</w:t>
      </w:r>
      <w:r w:rsidRPr="0080742D">
        <w:t xml:space="preserve"> 25</w:t>
      </w:r>
      <w:r w:rsidR="005C5AF8">
        <w:t xml:space="preserve"> punkti</w:t>
      </w:r>
      <w:r w:rsidRPr="0080742D">
        <w:t>;</w:t>
      </w:r>
    </w:p>
    <w:p w:rsidR="00E3082D" w:rsidRDefault="00377635" w:rsidP="0084111D">
      <w:pPr>
        <w:pStyle w:val="NoSpacing"/>
        <w:numPr>
          <w:ilvl w:val="3"/>
          <w:numId w:val="3"/>
        </w:numPr>
      </w:pPr>
      <w:r w:rsidRPr="0080742D">
        <w:t>uzstāšanās saturs (argumentu pamatotība, loģika</w:t>
      </w:r>
      <w:r w:rsidR="00091605">
        <w:t>, oriģinalitāte</w:t>
      </w:r>
      <w:r w:rsidRPr="0080742D">
        <w:t xml:space="preserve">) </w:t>
      </w:r>
      <w:r w:rsidR="001E2156">
        <w:t>–</w:t>
      </w:r>
      <w:r w:rsidRPr="0080742D">
        <w:t xml:space="preserve"> </w:t>
      </w:r>
      <w:r w:rsidR="00A20B44">
        <w:t>12</w:t>
      </w:r>
      <w:r w:rsidR="005C5AF8">
        <w:t xml:space="preserve"> līdz </w:t>
      </w:r>
      <w:r w:rsidRPr="0080742D">
        <w:t>25</w:t>
      </w:r>
      <w:r w:rsidR="005C5AF8">
        <w:t xml:space="preserve"> punkti</w:t>
      </w:r>
      <w:r w:rsidRPr="0080742D">
        <w:t>;</w:t>
      </w:r>
      <w:r w:rsidR="00375CDE" w:rsidRPr="0080742D">
        <w:t xml:space="preserve"> </w:t>
      </w:r>
    </w:p>
    <w:p w:rsidR="00306F60" w:rsidRDefault="00EB0279" w:rsidP="0084111D">
      <w:pPr>
        <w:pStyle w:val="NoSpacing"/>
        <w:numPr>
          <w:ilvl w:val="3"/>
          <w:numId w:val="3"/>
        </w:numPr>
      </w:pPr>
      <w:r>
        <w:t>r</w:t>
      </w:r>
      <w:r w:rsidR="00306F60">
        <w:t>eplikas un atbildes uz re</w:t>
      </w:r>
      <w:r w:rsidR="009525B4">
        <w:t>pliku saturs (tajā skaitā spēja reaģēt uz prezentētajiem argument</w:t>
      </w:r>
      <w:r w:rsidR="004A651D">
        <w:t>iem) </w:t>
      </w:r>
      <w:r w:rsidR="009525B4">
        <w:t xml:space="preserve">– </w:t>
      </w:r>
      <w:r w:rsidR="005C5AF8">
        <w:t>2 līdz</w:t>
      </w:r>
      <w:r w:rsidR="009525B4">
        <w:t xml:space="preserve"> 5</w:t>
      </w:r>
      <w:r w:rsidR="005C5AF8">
        <w:t xml:space="preserve"> punkti</w:t>
      </w:r>
      <w:r w:rsidR="009525B4">
        <w:t>;</w:t>
      </w:r>
    </w:p>
    <w:p w:rsidR="00091605" w:rsidRPr="0080742D" w:rsidRDefault="00091605" w:rsidP="0084111D">
      <w:pPr>
        <w:pStyle w:val="NoSpacing"/>
        <w:numPr>
          <w:ilvl w:val="3"/>
          <w:numId w:val="3"/>
        </w:numPr>
      </w:pPr>
      <w:r>
        <w:t>vispārīgas zināšanas par konstitucionālo tiesību, starptautisko tiesību un citām aktualitātēm –</w:t>
      </w:r>
      <w:r w:rsidR="00F9327A">
        <w:t>3</w:t>
      </w:r>
      <w:r w:rsidR="005C5AF8">
        <w:t xml:space="preserve"> līdz 10 punkti</w:t>
      </w:r>
      <w:r w:rsidR="00306F60">
        <w:t>;</w:t>
      </w:r>
    </w:p>
    <w:p w:rsidR="00E3082D" w:rsidRPr="0080742D" w:rsidRDefault="00377635" w:rsidP="0084111D">
      <w:pPr>
        <w:pStyle w:val="NoSpacing"/>
        <w:numPr>
          <w:ilvl w:val="3"/>
          <w:numId w:val="3"/>
        </w:numPr>
      </w:pPr>
      <w:r w:rsidRPr="0080742D">
        <w:t>spēja atbildēt uz tiesnešu jautājumiem</w:t>
      </w:r>
      <w:r w:rsidR="00091605">
        <w:t xml:space="preserve"> (t.sk. attieksme pret tiesas sastāvu)</w:t>
      </w:r>
      <w:r w:rsidRPr="0080742D">
        <w:t xml:space="preserve"> </w:t>
      </w:r>
      <w:r w:rsidR="001E2156">
        <w:t>–</w:t>
      </w:r>
      <w:r w:rsidR="00A20B44">
        <w:t xml:space="preserve"> 15</w:t>
      </w:r>
      <w:r w:rsidR="005C5AF8">
        <w:t xml:space="preserve"> līdz 25 punkti</w:t>
      </w:r>
      <w:r w:rsidRPr="0080742D">
        <w:t>;</w:t>
      </w:r>
    </w:p>
    <w:p w:rsidR="0038648D" w:rsidRDefault="00377635" w:rsidP="0084111D">
      <w:pPr>
        <w:pStyle w:val="NoSpacing"/>
        <w:numPr>
          <w:ilvl w:val="3"/>
          <w:numId w:val="3"/>
        </w:numPr>
      </w:pPr>
      <w:r w:rsidRPr="0080742D">
        <w:t xml:space="preserve">komandas darbs </w:t>
      </w:r>
      <w:r w:rsidR="00091605">
        <w:t>(savstarpējā saziņa, laika sadale un ievērošana)</w:t>
      </w:r>
      <w:r w:rsidR="001E2156">
        <w:t>–</w:t>
      </w:r>
      <w:r w:rsidRPr="0080742D">
        <w:t xml:space="preserve"> </w:t>
      </w:r>
      <w:r w:rsidR="005C5AF8">
        <w:t>3 līdz 10 punkti</w:t>
      </w:r>
      <w:r w:rsidRPr="0080742D">
        <w:t>.</w:t>
      </w:r>
    </w:p>
    <w:p w:rsidR="00FF49BB" w:rsidRPr="001F081B" w:rsidRDefault="0038648D" w:rsidP="00134B17">
      <w:pPr>
        <w:pStyle w:val="Heading2"/>
        <w:jc w:val="center"/>
      </w:pPr>
      <w:r w:rsidRPr="001F081B">
        <w:t>P</w:t>
      </w:r>
      <w:r w:rsidR="00FF49BB" w:rsidRPr="001F081B">
        <w:t>unktu piešķiršanas kārtība</w:t>
      </w:r>
    </w:p>
    <w:p w:rsidR="0038648D" w:rsidRDefault="00FF49BB" w:rsidP="00134B17">
      <w:pPr>
        <w:pStyle w:val="NoSpacing"/>
      </w:pPr>
      <w:r>
        <w:t>Katrā izspēles raundā komandām tiek piešķirti divu veidu punkti: Raunda punkti un Kopējie punkti.</w:t>
      </w:r>
    </w:p>
    <w:p w:rsidR="00FC4F41" w:rsidRDefault="00FF49BB" w:rsidP="00134B17">
      <w:pPr>
        <w:pStyle w:val="NoSpacing"/>
      </w:pPr>
      <w:r w:rsidRPr="001F081B">
        <w:t>Kopējie punkti</w:t>
      </w:r>
      <w:r w:rsidR="00134B17">
        <w:t>:</w:t>
      </w:r>
    </w:p>
    <w:p w:rsidR="00FC4F41" w:rsidRDefault="00FF49BB" w:rsidP="00134B17">
      <w:pPr>
        <w:pStyle w:val="Heading3"/>
        <w:numPr>
          <w:ilvl w:val="3"/>
          <w:numId w:val="3"/>
        </w:numPr>
        <w:spacing w:line="360" w:lineRule="auto"/>
        <w:jc w:val="both"/>
        <w:rPr>
          <w:rFonts w:ascii="Garamond" w:hAnsi="Garamond"/>
          <w:b w:val="0"/>
          <w:sz w:val="24"/>
          <w:szCs w:val="24"/>
        </w:rPr>
      </w:pPr>
      <w:r w:rsidRPr="00FC4F41">
        <w:rPr>
          <w:rFonts w:ascii="Garamond" w:hAnsi="Garamond"/>
          <w:b w:val="0"/>
          <w:sz w:val="24"/>
          <w:szCs w:val="24"/>
          <w:u w:val="single"/>
        </w:rPr>
        <w:lastRenderedPageBreak/>
        <w:t>Kāzusa analīzes Kopējie punkti:</w:t>
      </w:r>
      <w:r w:rsidRPr="00FC4F41">
        <w:rPr>
          <w:rFonts w:ascii="Garamond" w:hAnsi="Garamond"/>
          <w:b w:val="0"/>
          <w:sz w:val="24"/>
          <w:szCs w:val="24"/>
        </w:rPr>
        <w:t xml:space="preserve"> katrā izspēles raundā komandas kāzusa analīzes raunda kopējos punktus veido attiecīgās pozīcijas Kāzusa analīzes trīs izspēles tiesnešu vērtējumu summa. Komandas Kāzusa analīzes Izspēļu Kopējos punktus veido abu sagatavoto pozīciju Kāzusa analīzes sešu tiesnešu vērtējumu summa. Komandas Kāzusa analīzes Izspēļu Kopējie punkti tiek ņemti vērā, lai noteiktu Komandu ar labāko kāzusa analīzi.</w:t>
      </w:r>
    </w:p>
    <w:p w:rsidR="00FF49BB" w:rsidRPr="00FC4F41" w:rsidRDefault="00FF49BB" w:rsidP="00134B17">
      <w:pPr>
        <w:pStyle w:val="Heading3"/>
        <w:numPr>
          <w:ilvl w:val="3"/>
          <w:numId w:val="3"/>
        </w:numPr>
        <w:spacing w:line="360" w:lineRule="auto"/>
        <w:jc w:val="both"/>
        <w:rPr>
          <w:rFonts w:ascii="Garamond" w:hAnsi="Garamond"/>
          <w:b w:val="0"/>
          <w:sz w:val="24"/>
          <w:szCs w:val="24"/>
        </w:rPr>
      </w:pPr>
      <w:r w:rsidRPr="00FC4F41">
        <w:rPr>
          <w:rFonts w:ascii="Garamond" w:hAnsi="Garamond"/>
          <w:b w:val="0"/>
          <w:sz w:val="24"/>
          <w:szCs w:val="24"/>
          <w:u w:val="single"/>
        </w:rPr>
        <w:t>Uzstāšanās Kopējie punkti:</w:t>
      </w:r>
      <w:r w:rsidRPr="00FC4F41">
        <w:rPr>
          <w:rFonts w:ascii="Garamond" w:hAnsi="Garamond"/>
          <w:b w:val="0"/>
          <w:sz w:val="24"/>
          <w:szCs w:val="24"/>
        </w:rPr>
        <w:t xml:space="preserve"> Katrā Izspēļu raundā Komandas Uzstāšanās Kopējos punktus veido trīs raunda tiesnešu vērtējumu summa.</w:t>
      </w:r>
    </w:p>
    <w:p w:rsidR="00462D07" w:rsidRDefault="00FF49BB" w:rsidP="00134B17">
      <w:pPr>
        <w:pStyle w:val="NoSpacing"/>
        <w:numPr>
          <w:ilvl w:val="3"/>
          <w:numId w:val="3"/>
        </w:numPr>
      </w:pPr>
      <w:r w:rsidRPr="00462D07">
        <w:rPr>
          <w:u w:val="single"/>
        </w:rPr>
        <w:t>Kopējo punktu summa:</w:t>
      </w:r>
      <w:r>
        <w:t xml:space="preserve"> Katrā priekšsacīkšu raundā komandas Kopējo punktu summu veido Uzstāšanās kopējo punktu un Kāzusa analīzes</w:t>
      </w:r>
      <w:r w:rsidR="00462D07">
        <w:t xml:space="preserve"> Kopējo punktu summa attiecīgajā raundā. Komandas priekšsacīkšu Kopējo punktu summu veido Komandas visu priekšsacīkšu raundu Kopējo punktu summa.</w:t>
      </w:r>
    </w:p>
    <w:p w:rsidR="00462D07" w:rsidRPr="001F081B" w:rsidRDefault="00462D07" w:rsidP="00134B17">
      <w:pPr>
        <w:pStyle w:val="NoSpacing"/>
      </w:pPr>
      <w:r w:rsidRPr="001F081B">
        <w:t>Raunda punkti</w:t>
      </w:r>
      <w:r w:rsidR="00134B17">
        <w:t>:</w:t>
      </w:r>
    </w:p>
    <w:p w:rsidR="00462D07" w:rsidRDefault="00462D07" w:rsidP="00134B17">
      <w:pPr>
        <w:pStyle w:val="NoSpacing"/>
        <w:numPr>
          <w:ilvl w:val="3"/>
          <w:numId w:val="3"/>
        </w:numPr>
      </w:pPr>
      <w:r>
        <w:rPr>
          <w:u w:val="single"/>
        </w:rPr>
        <w:t>Kāzusa analīzes Raunda punkti:</w:t>
      </w:r>
      <w:r>
        <w:t xml:space="preserve"> Katrā iz</w:t>
      </w:r>
      <w:r w:rsidR="00704493">
        <w:t>spēles priekšsacīkšu raundā kopā</w:t>
      </w:r>
      <w:r>
        <w:t xml:space="preserve"> tiek piešķirti trīs Kāzusa analīzes Raunda punkti, ņemot vērā Kāzusa analīzes trīs tiesnešu augstāko, vidējo un zemāko vērtējumu. Raunda punkti tiek piešķirti</w:t>
      </w:r>
      <w:r w:rsidR="003F15CB">
        <w:t>,</w:t>
      </w:r>
      <w:r>
        <w:t xml:space="preserve"> salīdzinot komandu attiecīgo pozīciju Kāzusa analīzes vērtējumus (augstāko, vidējo un zemāko). Kāzusa analīzes Raunda punktu piešķiršanai tiek salīdzināti punkti, kas piešķirti par tās pozīcijas Kāzusa analīzi, kuru komanda pārstāv attiecīgajā priekšsacīkšu raundā (komandas, kas pārstāv pieteikuma iesniedzēju, Kāzusa analīzes tiesnešu vērtējums tiek salīdzināts ar komandas, kas pārstāv institūciju, kas izdevusi apstrīdēto aktu, Kāzusa analīzes tiesnešu vērtējumiem). Tā komanda, kuras augstākais, vidējais vai zemākais vērtējums ir augstāks, iegūst vienu </w:t>
      </w:r>
      <w:r w:rsidR="00704493">
        <w:t xml:space="preserve">Kāzusa analīzes Raunda </w:t>
      </w:r>
      <w:r>
        <w:t>punktu. Ja attiecīgās kategorijas vērtējumi abām salīdzināmajām komandām ir vienādi, abas komandas iegūst 0,5 punktus.</w:t>
      </w:r>
    </w:p>
    <w:p w:rsidR="00637CB6" w:rsidRDefault="00462D07" w:rsidP="00134B17">
      <w:pPr>
        <w:pStyle w:val="NoSpacing"/>
        <w:numPr>
          <w:ilvl w:val="3"/>
          <w:numId w:val="3"/>
        </w:numPr>
      </w:pPr>
      <w:r>
        <w:rPr>
          <w:u w:val="single"/>
        </w:rPr>
        <w:t>Uzstāšanās Raunda punkti:</w:t>
      </w:r>
      <w:r>
        <w:t xml:space="preserve"> Katrā izspēles priekšsacīkšu raundā kopā tiek piešķirti seši Raunda punkti, ņemot vērā komandai</w:t>
      </w:r>
      <w:r w:rsidR="00704493">
        <w:t>,</w:t>
      </w:r>
      <w:r>
        <w:t xml:space="preserve"> atbilstoši </w:t>
      </w:r>
      <w:r>
        <w:rPr>
          <w:b/>
        </w:rPr>
        <w:t>25.</w:t>
      </w:r>
      <w:r>
        <w:t>punktā norādītajai kārtībai</w:t>
      </w:r>
      <w:r w:rsidR="00704493">
        <w:t>,</w:t>
      </w:r>
      <w:r>
        <w:t xml:space="preserve"> piešķirto punktu salīdzinājumu. Komanda, kurai tiesnesis </w:t>
      </w:r>
      <w:r w:rsidR="00637CB6">
        <w:t xml:space="preserve">attiecīgā raunda ietvaros </w:t>
      </w:r>
      <w:r>
        <w:t xml:space="preserve">piešķīris lielāku punktu skaitu, saņem divus </w:t>
      </w:r>
      <w:r w:rsidR="00704493">
        <w:t>Uzstāšanās R</w:t>
      </w:r>
      <w:r>
        <w:t xml:space="preserve">aunda punktus. </w:t>
      </w:r>
      <w:r w:rsidR="00637CB6">
        <w:t xml:space="preserve">Ja attiecīgais tiesnesis abām komandām piešķīris vienādu punktu skaitu, katra komanda iegūst vienu </w:t>
      </w:r>
      <w:r w:rsidR="00704493">
        <w:t xml:space="preserve">Uzstāšanās </w:t>
      </w:r>
      <w:r w:rsidR="00637CB6">
        <w:t>Raunda punktu.</w:t>
      </w:r>
    </w:p>
    <w:p w:rsidR="00637CB6" w:rsidRDefault="00637CB6" w:rsidP="00134B17">
      <w:pPr>
        <w:pStyle w:val="NoSpacing"/>
        <w:numPr>
          <w:ilvl w:val="3"/>
          <w:numId w:val="3"/>
        </w:numPr>
      </w:pPr>
      <w:r>
        <w:rPr>
          <w:u w:val="single"/>
        </w:rPr>
        <w:t>Raunda punktu summa:</w:t>
      </w:r>
      <w:r>
        <w:t xml:space="preserve"> komandas Raunda punktu summu veido Uzstāšanās Raunda punktu un Kāzusa analīzes Raunda punktu summa.</w:t>
      </w:r>
    </w:p>
    <w:p w:rsidR="00637CB6" w:rsidRPr="001F081B" w:rsidRDefault="00637CB6" w:rsidP="00134B17">
      <w:pPr>
        <w:pStyle w:val="Heading2"/>
        <w:jc w:val="center"/>
      </w:pPr>
      <w:r w:rsidRPr="001F081B">
        <w:lastRenderedPageBreak/>
        <w:t>Priekšsacīkšu labāko komandu noteikšana</w:t>
      </w:r>
    </w:p>
    <w:p w:rsidR="00637CB6" w:rsidRDefault="00637CB6" w:rsidP="0038648D">
      <w:pPr>
        <w:pStyle w:val="NoSpacing"/>
        <w:numPr>
          <w:ilvl w:val="0"/>
          <w:numId w:val="0"/>
        </w:numPr>
      </w:pPr>
      <w:r>
        <w:t xml:space="preserve">Priekšsacīkšu rezultāti tiek noteikti pēc komandu priekšsacīkšu </w:t>
      </w:r>
      <w:r w:rsidR="0038648D">
        <w:t xml:space="preserve">Raundu punktu summas. </w:t>
      </w:r>
      <w:r>
        <w:t>Ja Raundu punktu summas vairākām komandām ir vienādas, tad šīs komandas tiek sarindotas pēc priekšsacīkšu Kopējo punktu summas.</w:t>
      </w:r>
    </w:p>
    <w:p w:rsidR="00637CB6" w:rsidRPr="001F081B" w:rsidRDefault="00637CB6" w:rsidP="00134B17">
      <w:pPr>
        <w:pStyle w:val="Heading2"/>
        <w:jc w:val="center"/>
      </w:pPr>
      <w:r w:rsidRPr="001F081B">
        <w:t>Priekšsacīkšu labākā oratora noteikšana</w:t>
      </w:r>
    </w:p>
    <w:p w:rsidR="0038648D" w:rsidRDefault="00637CB6" w:rsidP="0038648D">
      <w:pPr>
        <w:pStyle w:val="NoSpacing"/>
        <w:numPr>
          <w:ilvl w:val="0"/>
          <w:numId w:val="0"/>
        </w:numPr>
      </w:pPr>
      <w:r>
        <w:t xml:space="preserve">Katrā priekšsacīkšu Izspēļu raundā tiesas sastāvs vērtē ne tikai komandas darbu kopumā, bet arī oratoru sniegumu. Katrs tiesnesis vērtē katru komandas dalībnieku, piešķirot dalībniekam 1 – 10 punktus par sniegumu attiecīgajā izspēlē. </w:t>
      </w:r>
      <w:r w:rsidR="00E83DFD">
        <w:t>Priekšsacīkšu labāko oratoru nosaka pēc vidējā iegūto punktu skaita, saskaitot vidējo iegūto vērtējumu katrā izspēles raundā.</w:t>
      </w:r>
    </w:p>
    <w:p w:rsidR="0038648D" w:rsidRDefault="0038648D" w:rsidP="00134B17">
      <w:pPr>
        <w:pStyle w:val="Heading2"/>
        <w:jc w:val="center"/>
      </w:pPr>
      <w:r w:rsidRPr="001F081B">
        <w:t>Vērtēšana ceturtdaļfinālā</w:t>
      </w:r>
      <w:r w:rsidR="001F081B">
        <w:t xml:space="preserve"> un pusfinālā</w:t>
      </w:r>
    </w:p>
    <w:p w:rsidR="00E3082D" w:rsidRDefault="002D3A22" w:rsidP="0038648D">
      <w:pPr>
        <w:pStyle w:val="NoSpacing"/>
        <w:numPr>
          <w:ilvl w:val="0"/>
          <w:numId w:val="0"/>
        </w:numPr>
      </w:pPr>
      <w:r>
        <w:t xml:space="preserve">Ceturtdaļfināla </w:t>
      </w:r>
      <w:r w:rsidR="001F081B">
        <w:t xml:space="preserve">un pusfināla </w:t>
      </w:r>
      <w:r w:rsidR="00377635" w:rsidRPr="0080742D">
        <w:t xml:space="preserve">izspēlē komandas tiek vērtētas pēc </w:t>
      </w:r>
      <w:r w:rsidR="00D1340D">
        <w:rPr>
          <w:b/>
        </w:rPr>
        <w:t>2</w:t>
      </w:r>
      <w:r w:rsidR="001D3929">
        <w:rPr>
          <w:b/>
        </w:rPr>
        <w:t>5</w:t>
      </w:r>
      <w:r w:rsidR="00D1340D">
        <w:rPr>
          <w:b/>
        </w:rPr>
        <w:t>.</w:t>
      </w:r>
      <w:r w:rsidR="001D3929">
        <w:rPr>
          <w:b/>
        </w:rPr>
        <w:t xml:space="preserve"> </w:t>
      </w:r>
      <w:r w:rsidR="00377635" w:rsidRPr="0080742D">
        <w:t>punktā minētajiem kritērijiem, bet</w:t>
      </w:r>
      <w:r w:rsidR="00375CDE" w:rsidRPr="0080742D">
        <w:t xml:space="preserve"> </w:t>
      </w:r>
      <w:r w:rsidR="00377635" w:rsidRPr="0080742D">
        <w:t xml:space="preserve">nesaņem punktus, jo </w:t>
      </w:r>
      <w:r w:rsidR="00246CB3">
        <w:t xml:space="preserve">pusfināla un </w:t>
      </w:r>
      <w:r w:rsidR="00377635" w:rsidRPr="0080742D">
        <w:t xml:space="preserve">fināla dalībniekus nosaka tiesnešiem balsojot. </w:t>
      </w:r>
      <w:r w:rsidR="00DC5BAE">
        <w:t xml:space="preserve">Organizatori ceturtdaļfināla </w:t>
      </w:r>
      <w:r w:rsidR="001F081B">
        <w:t xml:space="preserve">un pusfināla </w:t>
      </w:r>
      <w:r w:rsidR="00DC5BAE">
        <w:t xml:space="preserve">tiesnešiem var izsniegt </w:t>
      </w:r>
      <w:r w:rsidR="00EF6941">
        <w:t xml:space="preserve">komandu </w:t>
      </w:r>
      <w:r w:rsidR="00DC5BAE">
        <w:t>rakstiskās pozīcijas, lai iepazītos ar komandu rakstisko pozīciju kvalitāti.</w:t>
      </w:r>
      <w:r w:rsidR="00D40A8E">
        <w:t xml:space="preserve"> No katras ceturtdaļfināla izspēles viena komanda tiek izvirzīta dalībai pusfinālā.</w:t>
      </w:r>
      <w:r w:rsidR="00894878">
        <w:t xml:space="preserve"> No katras pusfināla izspēles viena komanda tiek izvirzīta dalībai finālā.</w:t>
      </w:r>
      <w:r w:rsidR="00E61C89">
        <w:t xml:space="preserve"> </w:t>
      </w:r>
      <w:r w:rsidR="00E61C89" w:rsidRPr="002D3A22">
        <w:rPr>
          <w:rFonts w:cs="Times New Roman"/>
        </w:rPr>
        <w:t>Lemjot par uzvarējušo komandu, tiesneši nedrīkst atturēties.</w:t>
      </w:r>
    </w:p>
    <w:p w:rsidR="0038648D" w:rsidRPr="001F081B" w:rsidRDefault="0038648D" w:rsidP="00134B17">
      <w:pPr>
        <w:pStyle w:val="Heading2"/>
        <w:jc w:val="center"/>
      </w:pPr>
      <w:r w:rsidRPr="001F081B">
        <w:t>Vērtēšana finālā</w:t>
      </w:r>
    </w:p>
    <w:p w:rsidR="00E3082D" w:rsidRDefault="00377635" w:rsidP="001F081B">
      <w:pPr>
        <w:pStyle w:val="NoSpacing"/>
        <w:numPr>
          <w:ilvl w:val="0"/>
          <w:numId w:val="0"/>
        </w:numPr>
        <w:rPr>
          <w:rFonts w:cs="Times New Roman"/>
        </w:rPr>
      </w:pPr>
      <w:r w:rsidRPr="002D3A22">
        <w:rPr>
          <w:rFonts w:cs="Times New Roman"/>
        </w:rPr>
        <w:t xml:space="preserve">Fināla izspēlē komandas vērtē pēc </w:t>
      </w:r>
      <w:r w:rsidR="00D1340D">
        <w:rPr>
          <w:b/>
        </w:rPr>
        <w:t>2</w:t>
      </w:r>
      <w:r w:rsidR="001D3929">
        <w:rPr>
          <w:b/>
        </w:rPr>
        <w:t>5</w:t>
      </w:r>
      <w:r w:rsidR="00D1340D">
        <w:rPr>
          <w:b/>
        </w:rPr>
        <w:t>.</w:t>
      </w:r>
      <w:r w:rsidR="001D3929">
        <w:rPr>
          <w:b/>
        </w:rPr>
        <w:t xml:space="preserve"> </w:t>
      </w:r>
      <w:r w:rsidRPr="002D3A22">
        <w:rPr>
          <w:rFonts w:cs="Times New Roman"/>
        </w:rPr>
        <w:t xml:space="preserve">punktā </w:t>
      </w:r>
      <w:r w:rsidR="001F081B">
        <w:rPr>
          <w:rFonts w:cs="Times New Roman"/>
        </w:rPr>
        <w:t>noteiktajiem</w:t>
      </w:r>
      <w:r w:rsidRPr="002D3A22">
        <w:rPr>
          <w:rFonts w:cs="Times New Roman"/>
        </w:rPr>
        <w:t xml:space="preserve"> kritērijiem, </w:t>
      </w:r>
      <w:r w:rsidR="00EB0279" w:rsidRPr="002D3A22">
        <w:rPr>
          <w:rFonts w:cs="Times New Roman"/>
        </w:rPr>
        <w:t>bet nesaņem punktus, jo uzvarētājus nosaka</w:t>
      </w:r>
      <w:r w:rsidR="001D3929">
        <w:rPr>
          <w:rFonts w:cs="Times New Roman"/>
        </w:rPr>
        <w:t>,</w:t>
      </w:r>
      <w:r w:rsidR="00EB0279" w:rsidRPr="002D3A22">
        <w:rPr>
          <w:rFonts w:cs="Times New Roman"/>
        </w:rPr>
        <w:t xml:space="preserve"> tiesnešiem balsojot.</w:t>
      </w:r>
      <w:r w:rsidRPr="002D3A22">
        <w:rPr>
          <w:rFonts w:cs="Times New Roman"/>
        </w:rPr>
        <w:t xml:space="preserve"> Uzvarējusī komanda tiek noskaidrota ar tiesnešu balsu vairākumu. Lemjot par</w:t>
      </w:r>
      <w:r w:rsidR="00375CDE" w:rsidRPr="002D3A22">
        <w:rPr>
          <w:rFonts w:cs="Times New Roman"/>
        </w:rPr>
        <w:t xml:space="preserve"> </w:t>
      </w:r>
      <w:r w:rsidRPr="002D3A22">
        <w:rPr>
          <w:rFonts w:cs="Times New Roman"/>
        </w:rPr>
        <w:t>uzvarējušo komandu, tiesneši nedrīkst atturēties.</w:t>
      </w:r>
    </w:p>
    <w:p w:rsidR="001F081B" w:rsidRPr="002D3A22" w:rsidRDefault="001F081B" w:rsidP="00134B17">
      <w:pPr>
        <w:pStyle w:val="Heading2"/>
        <w:jc w:val="center"/>
      </w:pPr>
      <w:r>
        <w:t>Fināla labākā oratora noteikšana</w:t>
      </w:r>
    </w:p>
    <w:p w:rsidR="00E3082D" w:rsidRPr="0080742D" w:rsidRDefault="001F081B" w:rsidP="001F081B">
      <w:pPr>
        <w:pStyle w:val="NoSpacing"/>
        <w:numPr>
          <w:ilvl w:val="0"/>
          <w:numId w:val="0"/>
        </w:numPr>
        <w:rPr>
          <w:rFonts w:cs="Times New Roman"/>
        </w:rPr>
      </w:pPr>
      <w:r>
        <w:rPr>
          <w:rFonts w:cs="Times New Roman"/>
        </w:rPr>
        <w:t xml:space="preserve">Fināla </w:t>
      </w:r>
      <w:r w:rsidR="00377635" w:rsidRPr="0080742D">
        <w:rPr>
          <w:rFonts w:cs="Times New Roman"/>
        </w:rPr>
        <w:t>Izspēles labāko oratoru izvēl</w:t>
      </w:r>
      <w:r w:rsidR="00EB0279">
        <w:rPr>
          <w:rFonts w:cs="Times New Roman"/>
        </w:rPr>
        <w:t>as</w:t>
      </w:r>
      <w:r w:rsidR="00377635" w:rsidRPr="0080742D">
        <w:rPr>
          <w:rFonts w:cs="Times New Roman"/>
        </w:rPr>
        <w:t xml:space="preserve"> </w:t>
      </w:r>
      <w:r w:rsidR="002D3A22">
        <w:rPr>
          <w:rFonts w:cs="Times New Roman"/>
        </w:rPr>
        <w:t xml:space="preserve">fināla </w:t>
      </w:r>
      <w:r w:rsidR="00377635" w:rsidRPr="0080742D">
        <w:rPr>
          <w:rFonts w:cs="Times New Roman"/>
        </w:rPr>
        <w:t>tiesneši</w:t>
      </w:r>
      <w:r w:rsidR="00050F4A">
        <w:rPr>
          <w:rFonts w:cs="Times New Roman"/>
        </w:rPr>
        <w:t xml:space="preserve"> no fināla izspēles.</w:t>
      </w:r>
    </w:p>
    <w:p w:rsidR="00820467" w:rsidRPr="0080742D" w:rsidRDefault="00820467" w:rsidP="002D3A22">
      <w:pPr>
        <w:pStyle w:val="NoSpacing"/>
        <w:numPr>
          <w:ilvl w:val="0"/>
          <w:numId w:val="0"/>
        </w:numPr>
        <w:rPr>
          <w:rFonts w:cs="Times New Roman"/>
        </w:rPr>
      </w:pPr>
    </w:p>
    <w:p w:rsidR="00820467" w:rsidRPr="00820467" w:rsidRDefault="00377635" w:rsidP="002D3A22">
      <w:pPr>
        <w:pStyle w:val="Heading1"/>
        <w:spacing w:before="0" w:after="0"/>
      </w:pPr>
      <w:r w:rsidRPr="0080742D">
        <w:t>Noslēguma noteikumi</w:t>
      </w:r>
    </w:p>
    <w:p w:rsidR="00375CDE" w:rsidRPr="0080742D" w:rsidRDefault="00377635" w:rsidP="0084111D">
      <w:pPr>
        <w:pStyle w:val="Heading2"/>
        <w:jc w:val="center"/>
      </w:pPr>
      <w:r w:rsidRPr="0080742D">
        <w:t xml:space="preserve">Izspēles </w:t>
      </w:r>
      <w:r w:rsidR="00EB0279" w:rsidRPr="0080742D">
        <w:t>mu</w:t>
      </w:r>
      <w:r w:rsidR="00EB0279">
        <w:t>tvārdu</w:t>
      </w:r>
      <w:r w:rsidR="00EB0279" w:rsidRPr="0080742D">
        <w:t xml:space="preserve"> </w:t>
      </w:r>
      <w:r w:rsidRPr="0080742D">
        <w:t>daļas filmēšana un ierakstu veikšana</w:t>
      </w:r>
    </w:p>
    <w:p w:rsidR="00E3082D" w:rsidRDefault="00377635" w:rsidP="00134B17">
      <w:pPr>
        <w:pStyle w:val="NoSpacing"/>
      </w:pPr>
      <w:r w:rsidRPr="0080742D">
        <w:t xml:space="preserve">Organizētāji </w:t>
      </w:r>
      <w:r w:rsidR="003E4D7E">
        <w:t xml:space="preserve">ir tiesīgi </w:t>
      </w:r>
      <w:r w:rsidRPr="0080742D">
        <w:t xml:space="preserve">nodrošināt </w:t>
      </w:r>
      <w:r w:rsidR="003E4D7E">
        <w:t>I</w:t>
      </w:r>
      <w:r w:rsidRPr="0080742D">
        <w:t>zspēles mut</w:t>
      </w:r>
      <w:r w:rsidR="00EB0279">
        <w:t>vārdu</w:t>
      </w:r>
      <w:r w:rsidRPr="0080742D">
        <w:t xml:space="preserve"> daļas filmēšanu un citu ierakstu veikšanu un ir</w:t>
      </w:r>
      <w:r w:rsidR="00375CDE" w:rsidRPr="0080742D">
        <w:t xml:space="preserve"> </w:t>
      </w:r>
      <w:r w:rsidRPr="0080742D">
        <w:t>tiesīgi izmantot filmēšanas un citu ierakstu rezultātu publicēšanai.</w:t>
      </w:r>
      <w:r w:rsidR="00EB0279">
        <w:t xml:space="preserve"> Izspēļu skatītājiem un citām personām ir atļauts filmēt un fotografēt tikai ar </w:t>
      </w:r>
      <w:r w:rsidR="00820467">
        <w:t>izspēles organizatoru</w:t>
      </w:r>
      <w:r w:rsidR="00EB0279">
        <w:t xml:space="preserve"> atļauju.</w:t>
      </w:r>
      <w:r w:rsidR="002D3A22">
        <w:t xml:space="preserve"> </w:t>
      </w:r>
    </w:p>
    <w:p w:rsidR="0078290F" w:rsidRDefault="0078290F" w:rsidP="001F081B">
      <w:pPr>
        <w:pStyle w:val="NoSpacing"/>
      </w:pPr>
      <w:r>
        <w:t xml:space="preserve">Attiecībā uz izspēles organizēšanas ietvaros veikto </w:t>
      </w:r>
      <w:r w:rsidR="002E24BC">
        <w:t xml:space="preserve">personas </w:t>
      </w:r>
      <w:r>
        <w:t xml:space="preserve">datu apstrādi </w:t>
      </w:r>
      <w:r w:rsidR="002E24BC">
        <w:t>nodibinājums ‘’</w:t>
      </w:r>
      <w:r>
        <w:t xml:space="preserve">Kārļa </w:t>
      </w:r>
      <w:r>
        <w:lastRenderedPageBreak/>
        <w:t>Dišlera fonds</w:t>
      </w:r>
      <w:r w:rsidR="002E24BC">
        <w:t xml:space="preserve">’’, reģistrācijas numurs: </w:t>
      </w:r>
      <w:r w:rsidR="002E24BC" w:rsidRPr="002E24BC">
        <w:t>40008211254</w:t>
      </w:r>
      <w:r w:rsidR="002E24BC">
        <w:t xml:space="preserve">, e-pasts: </w:t>
      </w:r>
      <w:r w:rsidR="001438A7">
        <w:t>dislerafonds@gmail.com</w:t>
      </w:r>
      <w:r>
        <w:t xml:space="preserve"> ir personas datu pārzinis. Iesūtot pieteikuma anketu, dalībnieki piekrīt to datu apstrādei ar mērķi organizēt izspēli un sniegt informāciju par to, sniedzot tādus personas datus kā vārds, uzvārds, izglītības iestāde, kurā mācās, e-pasts, tālrunis. Dalībnieku personas dati tiks glabāti</w:t>
      </w:r>
      <w:r w:rsidR="003F15CB">
        <w:t>,</w:t>
      </w:r>
      <w:r>
        <w:t xml:space="preserve"> kamēr tas ir nepieciešams, lai nodrošinātu izspēles norisi. </w:t>
      </w:r>
      <w:r w:rsidR="002E24BC">
        <w:t xml:space="preserve">Gadījumā, ja dalībnieks atsauc savu piekrišanu, dati tiks nekavējoties dzēsti. </w:t>
      </w:r>
    </w:p>
    <w:p w:rsidR="0078290F" w:rsidRDefault="0078290F" w:rsidP="001F081B">
      <w:pPr>
        <w:pStyle w:val="NoSpacing"/>
      </w:pPr>
      <w:r>
        <w:t xml:space="preserve">Dalībnieks var jebkurā brīdī izmantot savas datu subjekta tiesības, piemēram, pieprasīt piekļuvi saviem datiem, labot tos vai lūgt dzēst vai ierobežot apstrādi attiecībā uz viņu. Tāpat </w:t>
      </w:r>
      <w:r w:rsidR="001438A7">
        <w:t>dalībniekiem</w:t>
      </w:r>
      <w:r>
        <w:t xml:space="preserve"> ir tiesības iebilst pret apstrādi un iesniegt sūdzību Latvijas Datu valsts inspekcijai. </w:t>
      </w:r>
    </w:p>
    <w:p w:rsidR="0078290F" w:rsidRDefault="0078290F" w:rsidP="00484DCA">
      <w:pPr>
        <w:pStyle w:val="Normal1"/>
        <w:widowControl w:val="0"/>
        <w:spacing w:line="360" w:lineRule="auto"/>
        <w:jc w:val="both"/>
        <w:rPr>
          <w:rFonts w:ascii="Garamond" w:hAnsi="Garamond" w:cs="Times New Roman"/>
          <w:sz w:val="24"/>
        </w:rPr>
      </w:pPr>
    </w:p>
    <w:p w:rsidR="00375CDE" w:rsidRPr="0080742D" w:rsidRDefault="00377635" w:rsidP="001F081B">
      <w:pPr>
        <w:pStyle w:val="Heading2"/>
        <w:spacing w:before="0"/>
        <w:jc w:val="center"/>
      </w:pPr>
      <w:r w:rsidRPr="0080742D">
        <w:t>Godalgas</w:t>
      </w:r>
    </w:p>
    <w:p w:rsidR="00E3082D" w:rsidRDefault="00EB0279" w:rsidP="00C412E5">
      <w:pPr>
        <w:pStyle w:val="NoSpacing"/>
      </w:pPr>
      <w:r>
        <w:t xml:space="preserve">Izspēļu noslēguma ceremonijā tiek </w:t>
      </w:r>
      <w:r w:rsidR="00377635" w:rsidRPr="0080742D">
        <w:t>godalgotas abas finālā iekļuvušās komandas</w:t>
      </w:r>
      <w:r>
        <w:t>, Izspēļu</w:t>
      </w:r>
      <w:r w:rsidR="00377635" w:rsidRPr="0080742D">
        <w:t xml:space="preserve"> labākais orators</w:t>
      </w:r>
      <w:r>
        <w:t xml:space="preserve">, </w:t>
      </w:r>
      <w:r w:rsidR="00377635" w:rsidRPr="0080742D">
        <w:t>komanda,</w:t>
      </w:r>
      <w:r w:rsidR="00375CDE" w:rsidRPr="0080742D">
        <w:t xml:space="preserve"> </w:t>
      </w:r>
      <w:r w:rsidR="00377635" w:rsidRPr="0080742D">
        <w:t>kura rakstvei</w:t>
      </w:r>
      <w:r w:rsidR="00DC3564">
        <w:t xml:space="preserve">dā </w:t>
      </w:r>
      <w:r>
        <w:t xml:space="preserve">sagatavojusi </w:t>
      </w:r>
      <w:r w:rsidR="00627E2C">
        <w:t xml:space="preserve">kopsummā </w:t>
      </w:r>
      <w:r w:rsidR="00DC3564">
        <w:t xml:space="preserve">labāko </w:t>
      </w:r>
      <w:r w:rsidR="00A84CF9">
        <w:t>pieteikuma</w:t>
      </w:r>
      <w:r w:rsidR="00DC3564">
        <w:t xml:space="preserve"> iesniedzēja</w:t>
      </w:r>
      <w:r w:rsidR="00375CDE" w:rsidRPr="0080742D">
        <w:t xml:space="preserve"> un </w:t>
      </w:r>
      <w:r w:rsidR="00C36BC6">
        <w:t>institūcijas</w:t>
      </w:r>
      <w:r w:rsidR="00DC3564">
        <w:t xml:space="preserve">, </w:t>
      </w:r>
      <w:r w:rsidR="00DC3564" w:rsidRPr="0080742D">
        <w:t xml:space="preserve">kas izdevusi apstrīdēto </w:t>
      </w:r>
      <w:r w:rsidR="00DC3564">
        <w:t xml:space="preserve">tiesību </w:t>
      </w:r>
      <w:r w:rsidR="00DC3564" w:rsidRPr="0080742D">
        <w:t>aktu</w:t>
      </w:r>
      <w:r w:rsidR="00DC3564">
        <w:t>/normu</w:t>
      </w:r>
      <w:r w:rsidR="00377635" w:rsidRPr="0080742D">
        <w:t xml:space="preserve"> pozīcijas argumentāciju.</w:t>
      </w:r>
      <w:r w:rsidR="00375CDE" w:rsidRPr="0080742D">
        <w:t xml:space="preserve"> </w:t>
      </w:r>
      <w:r w:rsidR="00377635" w:rsidRPr="0080742D">
        <w:t>Visi Izspēles dalībnieki saņem atzinības rakstus un veicināšanas</w:t>
      </w:r>
      <w:r w:rsidR="00375CDE" w:rsidRPr="0080742D">
        <w:t xml:space="preserve"> </w:t>
      </w:r>
      <w:r w:rsidR="00377635" w:rsidRPr="0080742D">
        <w:t>balvas.</w:t>
      </w:r>
    </w:p>
    <w:p w:rsidR="00C412E5" w:rsidRPr="00C412E5" w:rsidRDefault="00C412E5" w:rsidP="00C412E5">
      <w:pPr>
        <w:pStyle w:val="NoSpacing"/>
        <w:rPr>
          <w:rFonts w:cs="Times New Roman"/>
        </w:rPr>
      </w:pPr>
      <w:r w:rsidRPr="0080742D">
        <w:rPr>
          <w:rFonts w:cs="Times New Roman"/>
        </w:rPr>
        <w:t>Katra tiesneša individuāli piešķirto punktu skaitu</w:t>
      </w:r>
      <w:r>
        <w:rPr>
          <w:rFonts w:cs="Times New Roman"/>
        </w:rPr>
        <w:t xml:space="preserve"> priekšsacīkstēs</w:t>
      </w:r>
      <w:r w:rsidRPr="0080742D">
        <w:rPr>
          <w:rFonts w:cs="Times New Roman"/>
        </w:rPr>
        <w:t>,</w:t>
      </w:r>
      <w:r>
        <w:rPr>
          <w:rFonts w:cs="Times New Roman"/>
        </w:rPr>
        <w:t xml:space="preserve"> </w:t>
      </w:r>
      <w:r w:rsidRPr="0080742D">
        <w:rPr>
          <w:rFonts w:cs="Times New Roman"/>
        </w:rPr>
        <w:t xml:space="preserve">balsojumu </w:t>
      </w:r>
      <w:r w:rsidR="00B228C1">
        <w:rPr>
          <w:rFonts w:cs="Times New Roman"/>
        </w:rPr>
        <w:t xml:space="preserve">ceturtdaļfināla. </w:t>
      </w:r>
      <w:r>
        <w:rPr>
          <w:rFonts w:cs="Times New Roman"/>
        </w:rPr>
        <w:t>pusfināla un f</w:t>
      </w:r>
      <w:r w:rsidRPr="0080742D">
        <w:rPr>
          <w:rFonts w:cs="Times New Roman"/>
        </w:rPr>
        <w:t>ināla izspēlē, kā arī viedokli par Izspēles labāko oratoru</w:t>
      </w:r>
      <w:r>
        <w:rPr>
          <w:rFonts w:cs="Times New Roman"/>
        </w:rPr>
        <w:t xml:space="preserve"> dalībniekiem neatklāj.</w:t>
      </w:r>
    </w:p>
    <w:p w:rsidR="00A84CF9" w:rsidRPr="0080742D" w:rsidRDefault="00A84CF9" w:rsidP="00484DCA">
      <w:pPr>
        <w:pStyle w:val="Normal1"/>
        <w:widowControl w:val="0"/>
        <w:spacing w:line="360" w:lineRule="auto"/>
        <w:jc w:val="both"/>
        <w:rPr>
          <w:rFonts w:ascii="Garamond" w:hAnsi="Garamond" w:cs="Times New Roman"/>
        </w:rPr>
      </w:pPr>
    </w:p>
    <w:p w:rsidR="00375CDE" w:rsidRPr="0080742D" w:rsidRDefault="00377635" w:rsidP="001F081B">
      <w:pPr>
        <w:pStyle w:val="Heading2"/>
        <w:spacing w:before="0"/>
        <w:jc w:val="center"/>
      </w:pPr>
      <w:r w:rsidRPr="0080742D">
        <w:t>Lēmumu galīgums</w:t>
      </w:r>
    </w:p>
    <w:p w:rsidR="00E3082D" w:rsidRDefault="002C5335" w:rsidP="00484DCA">
      <w:pPr>
        <w:pStyle w:val="Normal1"/>
        <w:widowControl w:val="0"/>
        <w:spacing w:line="360" w:lineRule="auto"/>
        <w:jc w:val="both"/>
        <w:rPr>
          <w:rFonts w:ascii="Garamond" w:hAnsi="Garamond" w:cs="Times New Roman"/>
          <w:sz w:val="24"/>
        </w:rPr>
      </w:pPr>
      <w:r>
        <w:rPr>
          <w:rFonts w:ascii="Garamond" w:hAnsi="Garamond" w:cs="Times New Roman"/>
          <w:sz w:val="24"/>
        </w:rPr>
        <w:t xml:space="preserve">Ikviens </w:t>
      </w:r>
      <w:r w:rsidR="00377635" w:rsidRPr="0080742D">
        <w:rPr>
          <w:rFonts w:ascii="Garamond" w:hAnsi="Garamond" w:cs="Times New Roman"/>
          <w:sz w:val="24"/>
        </w:rPr>
        <w:t>ar Izspēli saistīts lēmums, ko pieņēmuši Izspēles tiesneši, ir galīgs un nepārsūdzams.</w:t>
      </w:r>
    </w:p>
    <w:p w:rsidR="00A84CF9" w:rsidRPr="0080742D" w:rsidRDefault="00A84CF9" w:rsidP="00484DCA">
      <w:pPr>
        <w:pStyle w:val="Normal1"/>
        <w:widowControl w:val="0"/>
        <w:spacing w:line="360" w:lineRule="auto"/>
        <w:jc w:val="both"/>
        <w:rPr>
          <w:rFonts w:ascii="Garamond" w:hAnsi="Garamond" w:cs="Times New Roman"/>
        </w:rPr>
      </w:pPr>
    </w:p>
    <w:p w:rsidR="00375CDE" w:rsidRPr="0080742D" w:rsidRDefault="00377635" w:rsidP="001F081B">
      <w:pPr>
        <w:pStyle w:val="Heading2"/>
        <w:spacing w:before="0"/>
        <w:jc w:val="center"/>
      </w:pPr>
      <w:bookmarkStart w:id="15" w:name="_Ref397521701"/>
      <w:r w:rsidRPr="0080742D">
        <w:t>Atkāpšanās no Nolikuma noteikumiem</w:t>
      </w:r>
      <w:bookmarkEnd w:id="15"/>
    </w:p>
    <w:p w:rsidR="00E3082D" w:rsidRDefault="00377635" w:rsidP="00484DCA">
      <w:pPr>
        <w:pStyle w:val="Normal1"/>
        <w:widowControl w:val="0"/>
        <w:spacing w:line="360" w:lineRule="auto"/>
        <w:jc w:val="both"/>
        <w:rPr>
          <w:rFonts w:ascii="Garamond" w:hAnsi="Garamond" w:cs="Times New Roman"/>
          <w:sz w:val="24"/>
        </w:rPr>
      </w:pPr>
      <w:r w:rsidRPr="0080742D">
        <w:rPr>
          <w:rFonts w:ascii="Garamond" w:hAnsi="Garamond" w:cs="Times New Roman"/>
          <w:sz w:val="24"/>
        </w:rPr>
        <w:t xml:space="preserve">Īpašas nepieciešamības gadījumā Izspēles organizētāji </w:t>
      </w:r>
      <w:r w:rsidR="002C5335">
        <w:rPr>
          <w:rFonts w:ascii="Garamond" w:hAnsi="Garamond" w:cs="Times New Roman"/>
          <w:sz w:val="24"/>
        </w:rPr>
        <w:t xml:space="preserve">ir tiesīgi </w:t>
      </w:r>
      <w:r w:rsidRPr="0080742D">
        <w:rPr>
          <w:rFonts w:ascii="Garamond" w:hAnsi="Garamond" w:cs="Times New Roman"/>
          <w:sz w:val="24"/>
        </w:rPr>
        <w:t>pieņem</w:t>
      </w:r>
      <w:r w:rsidR="002C5335">
        <w:rPr>
          <w:rFonts w:ascii="Garamond" w:hAnsi="Garamond" w:cs="Times New Roman"/>
          <w:sz w:val="24"/>
        </w:rPr>
        <w:t>t</w:t>
      </w:r>
      <w:r w:rsidRPr="0080742D">
        <w:rPr>
          <w:rFonts w:ascii="Garamond" w:hAnsi="Garamond" w:cs="Times New Roman"/>
          <w:sz w:val="24"/>
        </w:rPr>
        <w:t xml:space="preserve"> motivētu lēmumu par atkāpšanos</w:t>
      </w:r>
      <w:r w:rsidR="00375CDE" w:rsidRPr="0080742D">
        <w:rPr>
          <w:rFonts w:ascii="Garamond" w:hAnsi="Garamond" w:cs="Times New Roman"/>
          <w:sz w:val="24"/>
        </w:rPr>
        <w:t xml:space="preserve"> </w:t>
      </w:r>
      <w:r w:rsidRPr="0080742D">
        <w:rPr>
          <w:rFonts w:ascii="Garamond" w:hAnsi="Garamond" w:cs="Times New Roman"/>
          <w:sz w:val="24"/>
        </w:rPr>
        <w:t>no Nolikuma noteikumiem, par to iepriekš informējot Izspēles dalībniekus.</w:t>
      </w:r>
    </w:p>
    <w:p w:rsidR="00A84CF9" w:rsidRPr="0080742D" w:rsidRDefault="00A84CF9" w:rsidP="00484DCA">
      <w:pPr>
        <w:pStyle w:val="Normal1"/>
        <w:widowControl w:val="0"/>
        <w:spacing w:line="360" w:lineRule="auto"/>
        <w:jc w:val="both"/>
        <w:rPr>
          <w:rFonts w:ascii="Garamond" w:hAnsi="Garamond" w:cs="Times New Roman"/>
        </w:rPr>
      </w:pPr>
    </w:p>
    <w:p w:rsidR="00375CDE" w:rsidRPr="0080742D" w:rsidRDefault="00377635" w:rsidP="001F081B">
      <w:pPr>
        <w:pStyle w:val="Heading2"/>
        <w:spacing w:before="0"/>
        <w:jc w:val="center"/>
      </w:pPr>
      <w:r w:rsidRPr="0080742D">
        <w:t>Atbildība par Nolikuma neievērošanu</w:t>
      </w:r>
    </w:p>
    <w:p w:rsidR="00E3082D" w:rsidRPr="0080742D" w:rsidRDefault="00377635" w:rsidP="001F081B">
      <w:pPr>
        <w:pStyle w:val="NoSpacing"/>
      </w:pPr>
      <w:r w:rsidRPr="0080742D">
        <w:t xml:space="preserve">Katrs Izspēles dalībnieks </w:t>
      </w:r>
      <w:r w:rsidR="0048089C">
        <w:t xml:space="preserve">līdz fināla dalībnieku paziņošanas brīdim </w:t>
      </w:r>
      <w:r w:rsidRPr="0080742D">
        <w:t>ir tiesīgs iesniegt Izspēļu organizētājiem izskatīšanai rakstveida</w:t>
      </w:r>
      <w:r w:rsidR="00375CDE" w:rsidRPr="0080742D">
        <w:t xml:space="preserve"> </w:t>
      </w:r>
      <w:r w:rsidRPr="0080742D">
        <w:t>sūdzību gadījumā, ja viņam ir zināms kāds Nolikuma pārkāpums</w:t>
      </w:r>
      <w:r w:rsidR="0048089C">
        <w:t>.</w:t>
      </w:r>
    </w:p>
    <w:p w:rsidR="00E3082D" w:rsidRDefault="0048089C" w:rsidP="001F081B">
      <w:pPr>
        <w:pStyle w:val="NoSpacing"/>
      </w:pPr>
      <w:bookmarkStart w:id="16" w:name="_Ref397521725"/>
      <w:r>
        <w:t xml:space="preserve">Gadījumā, ja iesniegtā sūdzība ir pamatota un apmierināma, tad </w:t>
      </w:r>
      <w:r w:rsidR="00C14919">
        <w:t>izspēles organizatoru komanda</w:t>
      </w:r>
      <w:r w:rsidR="00377635" w:rsidRPr="0080742D">
        <w:t xml:space="preserve"> ir tiesīg</w:t>
      </w:r>
      <w:r>
        <w:t>a</w:t>
      </w:r>
      <w:r w:rsidR="00377635" w:rsidRPr="0080742D">
        <w:t xml:space="preserve"> no vainīgās komandas kopvērtējuma atskatīt ne vairāk kā 20 punktu vai</w:t>
      </w:r>
      <w:r w:rsidR="00375CDE" w:rsidRPr="0080742D">
        <w:t xml:space="preserve"> </w:t>
      </w:r>
      <w:r w:rsidR="00377635" w:rsidRPr="0080742D">
        <w:t xml:space="preserve">piemērot citas soda sankcijas, </w:t>
      </w:r>
      <w:bookmarkEnd w:id="16"/>
      <w:r>
        <w:t xml:space="preserve">tajā skaitā diskvalifikāciju īpaši smagu pārkāpumu gadījumā. Šādas soda sankcijas </w:t>
      </w:r>
      <w:r w:rsidR="00C14919">
        <w:t xml:space="preserve">izspēles </w:t>
      </w:r>
      <w:r w:rsidR="00C14919">
        <w:lastRenderedPageBreak/>
        <w:t>organizatoru komanda</w:t>
      </w:r>
      <w:r>
        <w:t xml:space="preserve"> var piemērot arī pēc savas iniciatīvas konstatēta pārkāpuma gadījumā. </w:t>
      </w:r>
    </w:p>
    <w:p w:rsidR="00B228C1" w:rsidRDefault="00B228C1" w:rsidP="00B228C1">
      <w:pPr>
        <w:pStyle w:val="NoSpacing"/>
        <w:numPr>
          <w:ilvl w:val="0"/>
          <w:numId w:val="0"/>
        </w:numPr>
      </w:pPr>
      <w:bookmarkStart w:id="17" w:name="_GoBack"/>
      <w:bookmarkEnd w:id="17"/>
    </w:p>
    <w:p w:rsidR="00375CDE" w:rsidRPr="0080742D" w:rsidRDefault="007003D0" w:rsidP="001F081B">
      <w:pPr>
        <w:pStyle w:val="Heading2"/>
        <w:spacing w:before="0"/>
        <w:jc w:val="center"/>
      </w:pPr>
      <w:r>
        <w:t>Lēmumu pārsūdzība</w:t>
      </w:r>
    </w:p>
    <w:p w:rsidR="00E3082D" w:rsidRPr="0080742D" w:rsidRDefault="00C14919" w:rsidP="001F081B">
      <w:pPr>
        <w:pStyle w:val="NoSpacing"/>
      </w:pPr>
      <w:r>
        <w:t>Izspēles organizatoru komandas</w:t>
      </w:r>
      <w:r w:rsidR="00377635" w:rsidRPr="0080742D">
        <w:t xml:space="preserve"> lēmumus, kas ierobežo Nolikumā norādītās Izspēles dalībnieku tiesības</w:t>
      </w:r>
      <w:r w:rsidR="00375CDE" w:rsidRPr="0080742D">
        <w:t xml:space="preserve"> </w:t>
      </w:r>
      <w:r w:rsidR="00377635" w:rsidRPr="0080742D">
        <w:t>vai attiecas uz</w:t>
      </w:r>
      <w:r w:rsidR="001D3929">
        <w:t xml:space="preserve"> </w:t>
      </w:r>
      <w:r w:rsidR="001D3929">
        <w:rPr>
          <w:b/>
        </w:rPr>
        <w:t>35</w:t>
      </w:r>
      <w:r w:rsidR="00377635" w:rsidRPr="00C778C1">
        <w:rPr>
          <w:b/>
        </w:rPr>
        <w:t>.</w:t>
      </w:r>
      <w:r w:rsidR="00377635" w:rsidRPr="0080742D">
        <w:t xml:space="preserve"> un </w:t>
      </w:r>
      <w:r w:rsidR="004415E9" w:rsidRPr="00C778C1">
        <w:rPr>
          <w:b/>
        </w:rPr>
        <w:fldChar w:fldCharType="begin"/>
      </w:r>
      <w:r w:rsidR="004415E9" w:rsidRPr="00C778C1">
        <w:rPr>
          <w:b/>
        </w:rPr>
        <w:instrText xml:space="preserve"> REF _Ref397521725 \n \h </w:instrText>
      </w:r>
      <w:r w:rsidR="005929E8" w:rsidRPr="00C778C1">
        <w:rPr>
          <w:b/>
        </w:rPr>
        <w:instrText xml:space="preserve"> \* MERGEFORMAT </w:instrText>
      </w:r>
      <w:r w:rsidR="004415E9" w:rsidRPr="00C778C1">
        <w:rPr>
          <w:b/>
        </w:rPr>
      </w:r>
      <w:r w:rsidR="004415E9" w:rsidRPr="00C778C1">
        <w:rPr>
          <w:b/>
        </w:rPr>
        <w:fldChar w:fldCharType="separate"/>
      </w:r>
      <w:r w:rsidR="001D3929">
        <w:rPr>
          <w:b/>
        </w:rPr>
        <w:t>36</w:t>
      </w:r>
      <w:r w:rsidR="00CA4A34" w:rsidRPr="00C778C1">
        <w:rPr>
          <w:b/>
        </w:rPr>
        <w:t>.2</w:t>
      </w:r>
      <w:r w:rsidR="004415E9" w:rsidRPr="00C778C1">
        <w:rPr>
          <w:b/>
        </w:rPr>
        <w:fldChar w:fldCharType="end"/>
      </w:r>
      <w:r w:rsidR="00377635" w:rsidRPr="00C778C1">
        <w:rPr>
          <w:b/>
        </w:rPr>
        <w:t>.</w:t>
      </w:r>
      <w:r w:rsidR="00377635" w:rsidRPr="0080742D">
        <w:t xml:space="preserve"> punktā minētajiem jautājumiem, Izspēles dalībniekiem ir tiesības</w:t>
      </w:r>
      <w:r w:rsidR="00375CDE" w:rsidRPr="0080742D">
        <w:t xml:space="preserve"> </w:t>
      </w:r>
      <w:r w:rsidR="00377635" w:rsidRPr="0080742D">
        <w:t xml:space="preserve">pārsūdzēt </w:t>
      </w:r>
      <w:r>
        <w:t>organizatoru komandas vadītājam</w:t>
      </w:r>
      <w:r w:rsidR="00377635" w:rsidRPr="0080742D">
        <w:t xml:space="preserve">, iesniedzot par attiecīgo lēmumu </w:t>
      </w:r>
      <w:r w:rsidR="00CF7182">
        <w:t xml:space="preserve">motivētu </w:t>
      </w:r>
      <w:r w:rsidR="00377635" w:rsidRPr="0080742D">
        <w:t>rakstisku sūdzību</w:t>
      </w:r>
      <w:r w:rsidR="00CF7182">
        <w:t>.</w:t>
      </w:r>
    </w:p>
    <w:p w:rsidR="00E3082D" w:rsidRPr="0080742D" w:rsidRDefault="00377635" w:rsidP="001F081B">
      <w:pPr>
        <w:pStyle w:val="NoSpacing"/>
      </w:pPr>
      <w:r w:rsidRPr="0080742D">
        <w:t xml:space="preserve">Apelācijas padomi izveido </w:t>
      </w:r>
      <w:r w:rsidR="00C14919">
        <w:t>izspēles organizatoru komanda</w:t>
      </w:r>
      <w:r w:rsidRPr="0080742D">
        <w:t xml:space="preserve"> uz Izspēles norises laiku.</w:t>
      </w:r>
      <w:r w:rsidR="00375CDE" w:rsidRPr="0080742D">
        <w:t xml:space="preserve"> </w:t>
      </w:r>
    </w:p>
    <w:p w:rsidR="00E3082D" w:rsidRPr="0080742D" w:rsidRDefault="00377635" w:rsidP="001F081B">
      <w:pPr>
        <w:pStyle w:val="NoSpacing"/>
      </w:pPr>
      <w:r w:rsidRPr="0080742D">
        <w:t xml:space="preserve">Izspēles dalībnieki </w:t>
      </w:r>
      <w:r w:rsidR="00C14919">
        <w:t>izspēles organizatoru komandas</w:t>
      </w:r>
      <w:r w:rsidRPr="0080742D">
        <w:t xml:space="preserve"> lēmumu var pārsūdzēt </w:t>
      </w:r>
      <w:r w:rsidR="00CF7182">
        <w:t>divas dienas</w:t>
      </w:r>
      <w:r w:rsidR="00CF7182" w:rsidRPr="0080742D">
        <w:t xml:space="preserve"> </w:t>
      </w:r>
      <w:r w:rsidRPr="0080742D">
        <w:t xml:space="preserve">pēc </w:t>
      </w:r>
      <w:r w:rsidR="00C14919">
        <w:t>izspēles organizatoru komandas</w:t>
      </w:r>
      <w:r w:rsidRPr="0080742D">
        <w:t xml:space="preserve"> lēmuma paziņošanas, par to informējot </w:t>
      </w:r>
      <w:r w:rsidR="00C14919">
        <w:t>izspēles organizatoru komandu</w:t>
      </w:r>
      <w:r w:rsidRPr="0080742D">
        <w:t xml:space="preserve">. </w:t>
      </w:r>
      <w:r w:rsidR="00C14919">
        <w:t xml:space="preserve">Organizatoru komandas vadītājs </w:t>
      </w:r>
      <w:r w:rsidRPr="0080742D">
        <w:t xml:space="preserve">iesniegto sūdzību izskata </w:t>
      </w:r>
      <w:r w:rsidR="00CF7182">
        <w:t>2 darba dienu laikā pēc sūdzības saņemšanas.</w:t>
      </w:r>
    </w:p>
    <w:p w:rsidR="00E3082D" w:rsidRPr="0080742D" w:rsidRDefault="00C14919" w:rsidP="001F081B">
      <w:pPr>
        <w:pStyle w:val="NoSpacing"/>
      </w:pPr>
      <w:r>
        <w:t>Organizatoru komandas vadītājs</w:t>
      </w:r>
      <w:r w:rsidR="00377635" w:rsidRPr="0080742D">
        <w:t xml:space="preserve"> ar saviem lēmumiem neietekmē galīgo vietu sadalījumu.</w:t>
      </w:r>
    </w:p>
    <w:p w:rsidR="00D8228A" w:rsidRDefault="00D8228A" w:rsidP="00C778C1">
      <w:pPr>
        <w:jc w:val="both"/>
        <w:rPr>
          <w:rFonts w:cs="Times New Roman"/>
        </w:rPr>
        <w:sectPr w:rsidR="00D8228A" w:rsidSect="00B73FB2">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418" w:left="1418" w:header="720" w:footer="720" w:gutter="0"/>
          <w:cols w:space="720"/>
          <w:titlePg/>
          <w:docGrid w:linePitch="299"/>
        </w:sectPr>
      </w:pPr>
      <w:bookmarkStart w:id="18" w:name="Beigas"/>
    </w:p>
    <w:bookmarkEnd w:id="18"/>
    <w:p w:rsidR="00375CDE" w:rsidRPr="0080742D" w:rsidRDefault="003F15CB" w:rsidP="00002BD8">
      <w:pPr>
        <w:autoSpaceDE w:val="0"/>
        <w:spacing w:line="200" w:lineRule="atLeast"/>
        <w:jc w:val="center"/>
        <w:rPr>
          <w:rFonts w:eastAsia="Verdana" w:cs="Verdana"/>
          <w:b/>
          <w:bCs/>
          <w:sz w:val="26"/>
          <w:szCs w:val="26"/>
        </w:rPr>
      </w:pPr>
      <w:r w:rsidRPr="00AB51C1">
        <w:rPr>
          <w:rFonts w:cs="Times New Roman"/>
          <w:b/>
          <w:noProof/>
          <w:sz w:val="26"/>
        </w:rPr>
        <w:lastRenderedPageBreak/>
        <w:drawing>
          <wp:inline distT="0" distB="0" distL="0" distR="0">
            <wp:extent cx="2087880" cy="1250950"/>
            <wp:effectExtent l="0" t="0" r="0" b="0"/>
            <wp:docPr id="3"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250950"/>
                    </a:xfrm>
                    <a:prstGeom prst="rect">
                      <a:avLst/>
                    </a:prstGeom>
                    <a:noFill/>
                    <a:ln>
                      <a:noFill/>
                    </a:ln>
                  </pic:spPr>
                </pic:pic>
              </a:graphicData>
            </a:graphic>
          </wp:inline>
        </w:drawing>
      </w:r>
    </w:p>
    <w:p w:rsidR="00375CDE" w:rsidRPr="0080742D" w:rsidRDefault="00D14A22" w:rsidP="00C778C1">
      <w:pPr>
        <w:autoSpaceDE w:val="0"/>
        <w:spacing w:line="200" w:lineRule="atLeast"/>
        <w:jc w:val="both"/>
        <w:rPr>
          <w:rFonts w:eastAsia="Verdana" w:cs="Verdana"/>
          <w:b/>
          <w:bCs/>
          <w:sz w:val="26"/>
          <w:szCs w:val="26"/>
        </w:rPr>
      </w:pPr>
      <w:r>
        <w:rPr>
          <w:rFonts w:eastAsia="Verdana" w:cs="Verdana"/>
          <w:b/>
          <w:bCs/>
          <w:noProof/>
          <w:sz w:val="26"/>
          <w:szCs w:val="26"/>
        </w:rPr>
        <w:pict>
          <v:rect id="_x0000_i1025" style="width:224.05pt;height:.05pt" o:hralign="center" o:hrstd="t" o:hrnoshade="t" o:hr="t" fillcolor="#f94711" stroked="f"/>
        </w:pict>
      </w:r>
    </w:p>
    <w:tbl>
      <w:tblPr>
        <w:tblW w:w="5000" w:type="pct"/>
        <w:jc w:val="center"/>
        <w:tblCellMar>
          <w:left w:w="57" w:type="dxa"/>
          <w:right w:w="57" w:type="dxa"/>
        </w:tblCellMar>
        <w:tblLook w:val="01E0" w:firstRow="1" w:lastRow="1" w:firstColumn="1" w:lastColumn="1" w:noHBand="0" w:noVBand="0"/>
      </w:tblPr>
      <w:tblGrid>
        <w:gridCol w:w="1662"/>
        <w:gridCol w:w="3044"/>
        <w:gridCol w:w="2348"/>
        <w:gridCol w:w="2350"/>
      </w:tblGrid>
      <w:tr w:rsidR="00375CDE" w:rsidRPr="0080742D" w:rsidTr="00D8228A">
        <w:trPr>
          <w:trHeight w:val="1463"/>
          <w:jc w:val="center"/>
        </w:trPr>
        <w:tc>
          <w:tcPr>
            <w:tcW w:w="9518" w:type="dxa"/>
            <w:gridSpan w:val="4"/>
          </w:tcPr>
          <w:p w:rsidR="00375CDE" w:rsidRPr="0080742D" w:rsidRDefault="00375CDE" w:rsidP="00C778C1">
            <w:pPr>
              <w:keepNext/>
              <w:tabs>
                <w:tab w:val="left" w:pos="426"/>
              </w:tabs>
              <w:jc w:val="center"/>
              <w:rPr>
                <w:b/>
                <w:caps/>
                <w:szCs w:val="24"/>
              </w:rPr>
            </w:pPr>
            <w:r w:rsidRPr="0080742D">
              <w:rPr>
                <w:b/>
                <w:caps/>
                <w:szCs w:val="24"/>
              </w:rPr>
              <w:t>pieteikuma anketa</w:t>
            </w:r>
            <w:r w:rsidRPr="0080742D">
              <w:rPr>
                <w:b/>
                <w:caps/>
                <w:szCs w:val="24"/>
              </w:rPr>
              <w:br/>
            </w:r>
            <w:r w:rsidR="00B4287B">
              <w:rPr>
                <w:b/>
                <w:caps/>
                <w:szCs w:val="24"/>
              </w:rPr>
              <w:t>201</w:t>
            </w:r>
            <w:r w:rsidR="00C14919">
              <w:rPr>
                <w:b/>
                <w:caps/>
                <w:szCs w:val="24"/>
              </w:rPr>
              <w:t>9</w:t>
            </w:r>
            <w:r w:rsidR="00B4287B">
              <w:rPr>
                <w:b/>
                <w:caps/>
                <w:szCs w:val="24"/>
              </w:rPr>
              <w:t xml:space="preserve">.gada </w:t>
            </w:r>
            <w:r w:rsidR="00B4287B">
              <w:rPr>
                <w:b/>
                <w:bCs/>
                <w:sz w:val="23"/>
                <w:szCs w:val="23"/>
              </w:rPr>
              <w:t xml:space="preserve">KĀRĻA DIŠLERA </w:t>
            </w:r>
            <w:r w:rsidR="00002BD8">
              <w:rPr>
                <w:b/>
                <w:bCs/>
                <w:sz w:val="23"/>
                <w:szCs w:val="23"/>
              </w:rPr>
              <w:t>XX</w:t>
            </w:r>
            <w:r w:rsidR="00437AE9">
              <w:rPr>
                <w:b/>
                <w:bCs/>
                <w:sz w:val="23"/>
                <w:szCs w:val="23"/>
              </w:rPr>
              <w:t>I</w:t>
            </w:r>
            <w:r w:rsidR="00002BD8">
              <w:rPr>
                <w:b/>
                <w:bCs/>
                <w:sz w:val="23"/>
                <w:szCs w:val="23"/>
              </w:rPr>
              <w:t xml:space="preserve"> </w:t>
            </w:r>
            <w:r w:rsidR="00B4287B">
              <w:rPr>
                <w:b/>
                <w:bCs/>
                <w:sz w:val="23"/>
                <w:szCs w:val="23"/>
              </w:rPr>
              <w:t>KONSTITUCIONĀLĀS TIESAS PROCESA IZSPĒLEI</w:t>
            </w:r>
          </w:p>
        </w:tc>
      </w:tr>
      <w:tr w:rsidR="00375CDE" w:rsidRPr="0080742D" w:rsidTr="00D8228A">
        <w:trPr>
          <w:jc w:val="center"/>
        </w:trPr>
        <w:tc>
          <w:tcPr>
            <w:tcW w:w="9518" w:type="dxa"/>
            <w:gridSpan w:val="4"/>
            <w:shd w:val="clear" w:color="auto" w:fill="E0E0E0"/>
          </w:tcPr>
          <w:p w:rsidR="00375CDE" w:rsidRPr="0080742D" w:rsidRDefault="00002BD8" w:rsidP="00C778C1">
            <w:pPr>
              <w:tabs>
                <w:tab w:val="left" w:pos="426"/>
              </w:tabs>
              <w:jc w:val="both"/>
              <w:rPr>
                <w:b/>
              </w:rPr>
            </w:pPr>
            <w:r>
              <w:rPr>
                <w:b/>
              </w:rPr>
              <w:t>Studiju</w:t>
            </w:r>
            <w:r w:rsidRPr="0080742D">
              <w:rPr>
                <w:b/>
              </w:rPr>
              <w:t xml:space="preserve"> </w:t>
            </w:r>
            <w:r w:rsidR="00375CDE" w:rsidRPr="0080742D">
              <w:rPr>
                <w:b/>
              </w:rPr>
              <w:t>iestāde (nosaukums, pilsēta)*:</w:t>
            </w:r>
          </w:p>
        </w:tc>
      </w:tr>
      <w:tr w:rsidR="00375CDE" w:rsidRPr="0080742D" w:rsidTr="00D8228A">
        <w:trPr>
          <w:jc w:val="center"/>
        </w:trPr>
        <w:tc>
          <w:tcPr>
            <w:tcW w:w="9518" w:type="dxa"/>
            <w:gridSpan w:val="4"/>
            <w:tcBorders>
              <w:bottom w:val="single" w:sz="18" w:space="0" w:color="FFFFFF"/>
            </w:tcBorders>
            <w:shd w:val="clear" w:color="auto" w:fill="E0E0E0"/>
            <w:vAlign w:val="center"/>
          </w:tcPr>
          <w:p w:rsidR="00375CDE" w:rsidRPr="0080742D" w:rsidRDefault="00375CDE" w:rsidP="00C778C1">
            <w:pPr>
              <w:tabs>
                <w:tab w:val="left" w:pos="426"/>
              </w:tabs>
              <w:jc w:val="both"/>
            </w:pPr>
            <w:r w:rsidRPr="0080742D">
              <w:rPr>
                <w:b/>
              </w:rPr>
              <w:t xml:space="preserve">Devīze (nosaukums)*: </w:t>
            </w:r>
          </w:p>
        </w:tc>
      </w:tr>
      <w:tr w:rsidR="00375CDE" w:rsidRPr="0080742D" w:rsidTr="0032751C">
        <w:trPr>
          <w:jc w:val="center"/>
        </w:trPr>
        <w:tc>
          <w:tcPr>
            <w:tcW w:w="9518" w:type="dxa"/>
            <w:gridSpan w:val="4"/>
            <w:tcBorders>
              <w:top w:val="single" w:sz="18" w:space="0" w:color="FFFFFF"/>
            </w:tcBorders>
            <w:shd w:val="clear" w:color="auto" w:fill="C0C0C0"/>
          </w:tcPr>
          <w:p w:rsidR="00375CDE" w:rsidRPr="0080742D" w:rsidRDefault="00375CDE" w:rsidP="00C778C1">
            <w:pPr>
              <w:tabs>
                <w:tab w:val="left" w:pos="426"/>
              </w:tabs>
              <w:jc w:val="both"/>
              <w:rPr>
                <w:b/>
              </w:rPr>
            </w:pPr>
            <w:r w:rsidRPr="0080742D">
              <w:rPr>
                <w:b/>
              </w:rPr>
              <w:t>Komandas dalībnieki *</w:t>
            </w:r>
          </w:p>
        </w:tc>
      </w:tr>
      <w:tr w:rsidR="00375CDE" w:rsidRPr="0080742D" w:rsidTr="0032751C">
        <w:trPr>
          <w:jc w:val="center"/>
        </w:trPr>
        <w:tc>
          <w:tcPr>
            <w:tcW w:w="1677" w:type="dxa"/>
            <w:shd w:val="clear" w:color="auto" w:fill="C0C0C0"/>
            <w:vAlign w:val="center"/>
          </w:tcPr>
          <w:p w:rsidR="00375CDE" w:rsidRPr="0080742D" w:rsidRDefault="00375CDE" w:rsidP="00C778C1">
            <w:pPr>
              <w:tabs>
                <w:tab w:val="left" w:pos="426"/>
              </w:tabs>
              <w:jc w:val="both"/>
            </w:pPr>
            <w:r w:rsidRPr="0080742D">
              <w:t>Nr.p.k.</w:t>
            </w:r>
          </w:p>
        </w:tc>
        <w:tc>
          <w:tcPr>
            <w:tcW w:w="3087" w:type="dxa"/>
            <w:shd w:val="clear" w:color="auto" w:fill="C0C0C0"/>
            <w:vAlign w:val="center"/>
          </w:tcPr>
          <w:p w:rsidR="00375CDE" w:rsidRPr="0080742D" w:rsidRDefault="00375CDE" w:rsidP="00C778C1">
            <w:pPr>
              <w:tabs>
                <w:tab w:val="left" w:pos="426"/>
              </w:tabs>
              <w:jc w:val="both"/>
            </w:pPr>
            <w:r w:rsidRPr="0080742D">
              <w:t>vārds, uzvārds</w:t>
            </w:r>
          </w:p>
        </w:tc>
        <w:tc>
          <w:tcPr>
            <w:tcW w:w="2376" w:type="dxa"/>
            <w:shd w:val="clear" w:color="auto" w:fill="C0C0C0"/>
            <w:vAlign w:val="center"/>
          </w:tcPr>
          <w:p w:rsidR="00375CDE" w:rsidRPr="0080742D" w:rsidRDefault="00375CDE" w:rsidP="00C778C1">
            <w:pPr>
              <w:tabs>
                <w:tab w:val="left" w:pos="426"/>
              </w:tabs>
              <w:jc w:val="both"/>
            </w:pPr>
            <w:r w:rsidRPr="0080742D">
              <w:t>Tālr.:</w:t>
            </w:r>
          </w:p>
        </w:tc>
        <w:tc>
          <w:tcPr>
            <w:tcW w:w="2378" w:type="dxa"/>
            <w:shd w:val="clear" w:color="auto" w:fill="C0C0C0"/>
            <w:vAlign w:val="center"/>
          </w:tcPr>
          <w:p w:rsidR="00375CDE" w:rsidRPr="0080742D" w:rsidRDefault="00375CDE" w:rsidP="00C778C1">
            <w:pPr>
              <w:tabs>
                <w:tab w:val="left" w:pos="426"/>
              </w:tabs>
              <w:jc w:val="both"/>
            </w:pPr>
            <w:r w:rsidRPr="0080742D">
              <w:t>e-pasts</w:t>
            </w:r>
          </w:p>
        </w:tc>
      </w:tr>
      <w:tr w:rsidR="004C3E35" w:rsidRPr="0080742D" w:rsidTr="0032751C">
        <w:trPr>
          <w:jc w:val="center"/>
        </w:trPr>
        <w:tc>
          <w:tcPr>
            <w:tcW w:w="1677" w:type="dxa"/>
            <w:shd w:val="clear" w:color="auto" w:fill="C0C0C0"/>
            <w:vAlign w:val="center"/>
          </w:tcPr>
          <w:p w:rsidR="004C3E35" w:rsidRPr="0080742D" w:rsidRDefault="004C3E35" w:rsidP="00C778C1">
            <w:pPr>
              <w:tabs>
                <w:tab w:val="left" w:pos="426"/>
              </w:tabs>
              <w:jc w:val="both"/>
            </w:pPr>
            <w:r w:rsidRPr="0080742D">
              <w:t>1. – kapteinis</w:t>
            </w:r>
          </w:p>
        </w:tc>
        <w:tc>
          <w:tcPr>
            <w:tcW w:w="3087" w:type="dxa"/>
            <w:shd w:val="clear" w:color="auto" w:fill="C0C0C0"/>
            <w:vAlign w:val="center"/>
          </w:tcPr>
          <w:p w:rsidR="004C3E35" w:rsidRPr="0080742D" w:rsidRDefault="004C3E35"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c>
          <w:tcPr>
            <w:tcW w:w="2376" w:type="dxa"/>
            <w:shd w:val="clear" w:color="auto" w:fill="C0C0C0"/>
            <w:vAlign w:val="center"/>
          </w:tcPr>
          <w:p w:rsidR="004C3E35" w:rsidRPr="0080742D" w:rsidRDefault="004C3E35"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c>
          <w:tcPr>
            <w:tcW w:w="2378" w:type="dxa"/>
            <w:shd w:val="clear" w:color="auto" w:fill="C0C0C0"/>
            <w:vAlign w:val="center"/>
          </w:tcPr>
          <w:p w:rsidR="004C3E35" w:rsidRPr="0080742D" w:rsidRDefault="004C3E35"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r>
      <w:tr w:rsidR="003B489F" w:rsidRPr="0080742D" w:rsidTr="0032751C">
        <w:trPr>
          <w:jc w:val="center"/>
        </w:trPr>
        <w:tc>
          <w:tcPr>
            <w:tcW w:w="1677" w:type="dxa"/>
            <w:shd w:val="clear" w:color="auto" w:fill="C0C0C0"/>
            <w:vAlign w:val="center"/>
          </w:tcPr>
          <w:p w:rsidR="003B489F" w:rsidRPr="0080742D" w:rsidRDefault="003B489F" w:rsidP="00C778C1">
            <w:pPr>
              <w:tabs>
                <w:tab w:val="left" w:pos="426"/>
              </w:tabs>
              <w:jc w:val="both"/>
            </w:pPr>
            <w:r w:rsidRPr="0080742D">
              <w:t>2.</w:t>
            </w:r>
          </w:p>
        </w:tc>
        <w:tc>
          <w:tcPr>
            <w:tcW w:w="3087" w:type="dxa"/>
            <w:shd w:val="clear" w:color="auto" w:fill="C0C0C0"/>
            <w:vAlign w:val="center"/>
          </w:tcPr>
          <w:p w:rsidR="003B489F" w:rsidRPr="0080742D" w:rsidRDefault="003B489F"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c>
          <w:tcPr>
            <w:tcW w:w="2376" w:type="dxa"/>
            <w:shd w:val="clear" w:color="auto" w:fill="C0C0C0"/>
            <w:vAlign w:val="center"/>
          </w:tcPr>
          <w:p w:rsidR="003B489F" w:rsidRPr="0080742D" w:rsidRDefault="003B489F"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c>
          <w:tcPr>
            <w:tcW w:w="2378" w:type="dxa"/>
            <w:shd w:val="clear" w:color="auto" w:fill="C0C0C0"/>
            <w:vAlign w:val="center"/>
          </w:tcPr>
          <w:p w:rsidR="003B489F" w:rsidRPr="0080742D" w:rsidRDefault="003B489F"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r>
      <w:tr w:rsidR="003B489F" w:rsidRPr="0080742D" w:rsidTr="003E4AF2">
        <w:trPr>
          <w:jc w:val="center"/>
        </w:trPr>
        <w:tc>
          <w:tcPr>
            <w:tcW w:w="1677" w:type="dxa"/>
            <w:tcBorders>
              <w:bottom w:val="single" w:sz="18" w:space="0" w:color="FFFFFF"/>
            </w:tcBorders>
            <w:shd w:val="clear" w:color="auto" w:fill="C0C0C0"/>
            <w:vAlign w:val="center"/>
          </w:tcPr>
          <w:p w:rsidR="003B489F" w:rsidRPr="0080742D" w:rsidRDefault="003B489F" w:rsidP="00C778C1">
            <w:pPr>
              <w:tabs>
                <w:tab w:val="left" w:pos="426"/>
              </w:tabs>
              <w:jc w:val="both"/>
            </w:pPr>
            <w:r w:rsidRPr="0080742D">
              <w:t>3.</w:t>
            </w:r>
          </w:p>
        </w:tc>
        <w:tc>
          <w:tcPr>
            <w:tcW w:w="3087" w:type="dxa"/>
            <w:tcBorders>
              <w:bottom w:val="single" w:sz="18" w:space="0" w:color="FFFFFF"/>
            </w:tcBorders>
            <w:shd w:val="clear" w:color="auto" w:fill="C0C0C0"/>
            <w:vAlign w:val="center"/>
          </w:tcPr>
          <w:p w:rsidR="003B489F" w:rsidRPr="0080742D" w:rsidRDefault="003B489F"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c>
          <w:tcPr>
            <w:tcW w:w="2376" w:type="dxa"/>
            <w:tcBorders>
              <w:bottom w:val="single" w:sz="18" w:space="0" w:color="FFFFFF"/>
            </w:tcBorders>
            <w:shd w:val="clear" w:color="auto" w:fill="C0C0C0"/>
            <w:vAlign w:val="center"/>
          </w:tcPr>
          <w:p w:rsidR="003B489F" w:rsidRPr="0080742D" w:rsidRDefault="003B489F"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c>
          <w:tcPr>
            <w:tcW w:w="2378" w:type="dxa"/>
            <w:tcBorders>
              <w:bottom w:val="single" w:sz="18" w:space="0" w:color="FFFFFF"/>
            </w:tcBorders>
            <w:shd w:val="clear" w:color="auto" w:fill="C0C0C0"/>
            <w:vAlign w:val="center"/>
          </w:tcPr>
          <w:p w:rsidR="003B489F" w:rsidRPr="0080742D" w:rsidRDefault="003B489F" w:rsidP="00C778C1">
            <w:pPr>
              <w:tabs>
                <w:tab w:val="left" w:pos="426"/>
              </w:tabs>
              <w:jc w:val="both"/>
              <w:rPr>
                <w:color w:val="FFFFFF"/>
              </w:rPr>
            </w:pPr>
            <w:r w:rsidRPr="0080742D">
              <w:rPr>
                <w:color w:val="FFFFFF"/>
              </w:rPr>
              <w:t>[</w:t>
            </w:r>
            <w:r w:rsidRPr="0080742D">
              <w:rPr>
                <w:i/>
                <w:color w:val="FFFFFF"/>
              </w:rPr>
              <w:t>jāaizpilda obligāti</w:t>
            </w:r>
            <w:r w:rsidRPr="0080742D">
              <w:rPr>
                <w:color w:val="FFFFFF"/>
              </w:rPr>
              <w:t>]</w:t>
            </w:r>
          </w:p>
        </w:tc>
      </w:tr>
      <w:tr w:rsidR="00375CDE" w:rsidRPr="0080742D" w:rsidTr="003E4AF2">
        <w:trPr>
          <w:jc w:val="center"/>
        </w:trPr>
        <w:tc>
          <w:tcPr>
            <w:tcW w:w="9518" w:type="dxa"/>
            <w:gridSpan w:val="4"/>
            <w:tcBorders>
              <w:top w:val="single" w:sz="18" w:space="0" w:color="FFFFFF"/>
            </w:tcBorders>
            <w:shd w:val="clear" w:color="auto" w:fill="E0E0E0"/>
          </w:tcPr>
          <w:p w:rsidR="00375CDE" w:rsidRPr="0080742D" w:rsidRDefault="00375CDE" w:rsidP="00C778C1">
            <w:pPr>
              <w:tabs>
                <w:tab w:val="left" w:pos="426"/>
              </w:tabs>
              <w:jc w:val="both"/>
              <w:rPr>
                <w:b/>
              </w:rPr>
            </w:pPr>
            <w:r w:rsidRPr="0080742D">
              <w:rPr>
                <w:b/>
              </w:rPr>
              <w:t xml:space="preserve">Treneris </w:t>
            </w:r>
            <w:r w:rsidRPr="0080742D">
              <w:t>[</w:t>
            </w:r>
            <w:r w:rsidRPr="0080742D">
              <w:rPr>
                <w:i/>
              </w:rPr>
              <w:t>ja nav, zemāk norādīto aili izdzēst</w:t>
            </w:r>
            <w:r w:rsidRPr="0080742D">
              <w:t>]</w:t>
            </w:r>
            <w:r w:rsidRPr="0080742D">
              <w:rPr>
                <w:b/>
              </w:rPr>
              <w:t>:</w:t>
            </w:r>
          </w:p>
        </w:tc>
      </w:tr>
      <w:tr w:rsidR="00375CDE" w:rsidRPr="0080742D" w:rsidTr="0032751C">
        <w:trPr>
          <w:jc w:val="center"/>
        </w:trPr>
        <w:tc>
          <w:tcPr>
            <w:tcW w:w="1677" w:type="dxa"/>
            <w:shd w:val="clear" w:color="auto" w:fill="E0E0E0"/>
            <w:vAlign w:val="center"/>
          </w:tcPr>
          <w:p w:rsidR="00375CDE" w:rsidRPr="0080742D" w:rsidRDefault="0032751C" w:rsidP="00C778C1">
            <w:pPr>
              <w:tabs>
                <w:tab w:val="left" w:pos="426"/>
              </w:tabs>
              <w:jc w:val="both"/>
            </w:pPr>
            <w:r w:rsidRPr="0080742D">
              <w:t>Nr.p.k.</w:t>
            </w:r>
          </w:p>
        </w:tc>
        <w:tc>
          <w:tcPr>
            <w:tcW w:w="3087" w:type="dxa"/>
            <w:shd w:val="clear" w:color="auto" w:fill="E0E0E0"/>
            <w:vAlign w:val="center"/>
          </w:tcPr>
          <w:p w:rsidR="00375CDE" w:rsidRPr="0080742D" w:rsidRDefault="00375CDE" w:rsidP="00C778C1">
            <w:pPr>
              <w:tabs>
                <w:tab w:val="left" w:pos="426"/>
              </w:tabs>
              <w:jc w:val="both"/>
            </w:pPr>
            <w:r w:rsidRPr="0080742D">
              <w:t>vārds, uzvārds</w:t>
            </w:r>
          </w:p>
        </w:tc>
        <w:tc>
          <w:tcPr>
            <w:tcW w:w="2376" w:type="dxa"/>
            <w:shd w:val="clear" w:color="auto" w:fill="E0E0E0"/>
            <w:vAlign w:val="center"/>
          </w:tcPr>
          <w:p w:rsidR="00375CDE" w:rsidRPr="0080742D" w:rsidRDefault="00375CDE" w:rsidP="00C778C1">
            <w:pPr>
              <w:tabs>
                <w:tab w:val="left" w:pos="426"/>
              </w:tabs>
              <w:jc w:val="both"/>
            </w:pPr>
            <w:r w:rsidRPr="0080742D">
              <w:t>Tālr.:</w:t>
            </w:r>
          </w:p>
        </w:tc>
        <w:tc>
          <w:tcPr>
            <w:tcW w:w="2378" w:type="dxa"/>
            <w:shd w:val="clear" w:color="auto" w:fill="E0E0E0"/>
            <w:vAlign w:val="center"/>
          </w:tcPr>
          <w:p w:rsidR="00375CDE" w:rsidRPr="0080742D" w:rsidRDefault="00375CDE" w:rsidP="00C778C1">
            <w:pPr>
              <w:tabs>
                <w:tab w:val="left" w:pos="426"/>
              </w:tabs>
              <w:jc w:val="both"/>
            </w:pPr>
            <w:r w:rsidRPr="0080742D">
              <w:t>e-pasts</w:t>
            </w:r>
          </w:p>
        </w:tc>
      </w:tr>
      <w:tr w:rsidR="00375CDE" w:rsidRPr="0080742D" w:rsidTr="00F50801">
        <w:trPr>
          <w:jc w:val="center"/>
        </w:trPr>
        <w:tc>
          <w:tcPr>
            <w:tcW w:w="1677" w:type="dxa"/>
            <w:tcBorders>
              <w:bottom w:val="single" w:sz="18" w:space="0" w:color="FFFFFF"/>
            </w:tcBorders>
            <w:shd w:val="clear" w:color="auto" w:fill="E0E0E0"/>
            <w:vAlign w:val="center"/>
          </w:tcPr>
          <w:p w:rsidR="00375CDE" w:rsidRPr="0080742D" w:rsidRDefault="0032751C" w:rsidP="00C778C1">
            <w:pPr>
              <w:tabs>
                <w:tab w:val="left" w:pos="426"/>
              </w:tabs>
              <w:jc w:val="both"/>
            </w:pPr>
            <w:r>
              <w:t>1.</w:t>
            </w:r>
          </w:p>
        </w:tc>
        <w:tc>
          <w:tcPr>
            <w:tcW w:w="3087" w:type="dxa"/>
            <w:tcBorders>
              <w:bottom w:val="single" w:sz="18" w:space="0" w:color="FFFFFF"/>
            </w:tcBorders>
            <w:shd w:val="clear" w:color="auto" w:fill="E0E0E0"/>
            <w:vAlign w:val="center"/>
          </w:tcPr>
          <w:p w:rsidR="00375CDE" w:rsidRPr="0080742D" w:rsidRDefault="00375CDE" w:rsidP="00C778C1">
            <w:pPr>
              <w:tabs>
                <w:tab w:val="left" w:pos="426"/>
              </w:tabs>
              <w:jc w:val="both"/>
            </w:pPr>
          </w:p>
        </w:tc>
        <w:tc>
          <w:tcPr>
            <w:tcW w:w="2376" w:type="dxa"/>
            <w:tcBorders>
              <w:bottom w:val="single" w:sz="18" w:space="0" w:color="FFFFFF"/>
            </w:tcBorders>
            <w:shd w:val="clear" w:color="auto" w:fill="E0E0E0"/>
            <w:vAlign w:val="center"/>
          </w:tcPr>
          <w:p w:rsidR="00375CDE" w:rsidRPr="0080742D" w:rsidRDefault="00375CDE" w:rsidP="00C778C1">
            <w:pPr>
              <w:tabs>
                <w:tab w:val="left" w:pos="426"/>
              </w:tabs>
              <w:jc w:val="both"/>
            </w:pPr>
          </w:p>
        </w:tc>
        <w:tc>
          <w:tcPr>
            <w:tcW w:w="2378" w:type="dxa"/>
            <w:tcBorders>
              <w:bottom w:val="single" w:sz="18" w:space="0" w:color="FFFFFF"/>
            </w:tcBorders>
            <w:shd w:val="clear" w:color="auto" w:fill="E0E0E0"/>
            <w:vAlign w:val="center"/>
          </w:tcPr>
          <w:p w:rsidR="00375CDE" w:rsidRPr="0080742D" w:rsidRDefault="00375CDE" w:rsidP="00C778C1">
            <w:pPr>
              <w:tabs>
                <w:tab w:val="left" w:pos="426"/>
              </w:tabs>
              <w:jc w:val="both"/>
            </w:pPr>
          </w:p>
        </w:tc>
      </w:tr>
      <w:tr w:rsidR="00375CDE" w:rsidRPr="0080742D" w:rsidTr="00F50801">
        <w:trPr>
          <w:trHeight w:val="1193"/>
          <w:jc w:val="center"/>
        </w:trPr>
        <w:tc>
          <w:tcPr>
            <w:tcW w:w="9518" w:type="dxa"/>
            <w:gridSpan w:val="4"/>
            <w:tcBorders>
              <w:top w:val="single" w:sz="18" w:space="0" w:color="FFFFFF"/>
              <w:bottom w:val="single" w:sz="18" w:space="0" w:color="FFFFFF"/>
            </w:tcBorders>
            <w:shd w:val="clear" w:color="auto" w:fill="C0C0C0"/>
          </w:tcPr>
          <w:p w:rsidR="00375CDE" w:rsidRPr="0080742D" w:rsidRDefault="00375CDE" w:rsidP="00C778C1">
            <w:pPr>
              <w:tabs>
                <w:tab w:val="left" w:pos="426"/>
              </w:tabs>
              <w:jc w:val="both"/>
            </w:pPr>
            <w:r w:rsidRPr="0080742D">
              <w:t>Ar šo apliecinām, ka esam iepazinušies ar Nolikumu un Pieteikum</w:t>
            </w:r>
            <w:r w:rsidR="00C21520">
              <w:t>a</w:t>
            </w:r>
            <w:r w:rsidRPr="0080742D">
              <w:t xml:space="preserve"> anketā norādītā informācija ir patiesa.</w:t>
            </w:r>
          </w:p>
        </w:tc>
      </w:tr>
      <w:tr w:rsidR="00375CDE" w:rsidRPr="0080742D" w:rsidTr="00D8228A">
        <w:trPr>
          <w:jc w:val="center"/>
        </w:trPr>
        <w:tc>
          <w:tcPr>
            <w:tcW w:w="9518" w:type="dxa"/>
            <w:gridSpan w:val="4"/>
            <w:tcBorders>
              <w:top w:val="single" w:sz="18" w:space="0" w:color="FFFFFF"/>
            </w:tcBorders>
            <w:shd w:val="clear" w:color="auto" w:fill="E0E0E0"/>
          </w:tcPr>
          <w:p w:rsidR="00375CDE" w:rsidRPr="0080742D" w:rsidRDefault="00375CDE" w:rsidP="00C778C1">
            <w:pPr>
              <w:tabs>
                <w:tab w:val="left" w:pos="426"/>
              </w:tabs>
              <w:jc w:val="both"/>
              <w:rPr>
                <w:b/>
              </w:rPr>
            </w:pPr>
            <w:r w:rsidRPr="0080742D">
              <w:rPr>
                <w:b/>
              </w:rPr>
              <w:t>Aizpildīšanas datums*:</w:t>
            </w:r>
          </w:p>
        </w:tc>
      </w:tr>
    </w:tbl>
    <w:p w:rsidR="00E3082D" w:rsidRPr="00D8228A" w:rsidRDefault="00375CDE" w:rsidP="00C778C1">
      <w:pPr>
        <w:tabs>
          <w:tab w:val="left" w:pos="426"/>
        </w:tabs>
        <w:jc w:val="both"/>
        <w:rPr>
          <w:i/>
        </w:rPr>
      </w:pPr>
      <w:r w:rsidRPr="0080742D">
        <w:rPr>
          <w:i/>
        </w:rPr>
        <w:t xml:space="preserve">* </w:t>
      </w:r>
      <w:r w:rsidR="00761E97">
        <w:rPr>
          <w:i/>
        </w:rPr>
        <w:t>–</w:t>
      </w:r>
      <w:r w:rsidRPr="0080742D">
        <w:rPr>
          <w:i/>
        </w:rPr>
        <w:t xml:space="preserve"> AIZPILDĀMS OBLIGĀTI</w:t>
      </w:r>
    </w:p>
    <w:sectPr w:rsidR="00E3082D" w:rsidRPr="00D8228A" w:rsidSect="00377635">
      <w:headerReference w:type="first" r:id="rId19"/>
      <w:footerReference w:type="first" r:id="rId20"/>
      <w:pgSz w:w="12240" w:h="15840"/>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74" w:rsidRDefault="00BA4974" w:rsidP="00784D39">
      <w:pPr>
        <w:spacing w:line="240" w:lineRule="auto"/>
      </w:pPr>
      <w:r>
        <w:separator/>
      </w:r>
    </w:p>
  </w:endnote>
  <w:endnote w:type="continuationSeparator" w:id="0">
    <w:p w:rsidR="00BA4974" w:rsidRDefault="00BA4974" w:rsidP="0078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Default="002D3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Pr="0080742D" w:rsidRDefault="002D3A22" w:rsidP="00D8228A">
    <w:pPr>
      <w:pStyle w:val="Footer"/>
      <w:jc w:val="center"/>
    </w:pPr>
    <w:r>
      <w:t>– </w:t>
    </w:r>
    <w:r>
      <w:fldChar w:fldCharType="begin"/>
    </w:r>
    <w:r>
      <w:instrText xml:space="preserve"> PAGE  \* Arabic  \* MERGEFORMAT </w:instrText>
    </w:r>
    <w:r>
      <w:fldChar w:fldCharType="separate"/>
    </w:r>
    <w:r w:rsidR="00D14A22">
      <w:rPr>
        <w:noProof/>
      </w:rPr>
      <w:t>13</w:t>
    </w:r>
    <w:r>
      <w:fldChar w:fldCharType="end"/>
    </w:r>
    <w:r>
      <w:t>/</w:t>
    </w:r>
    <w:r>
      <w:fldChar w:fldCharType="begin"/>
    </w:r>
    <w:r>
      <w:instrText xml:space="preserve"> PAGEREF  Beigas \# "0" \* Arabic  \* MERGEFORMAT </w:instrText>
    </w:r>
    <w:r>
      <w:fldChar w:fldCharType="separate"/>
    </w:r>
    <w:r w:rsidR="00D14A22">
      <w:rPr>
        <w:noProof/>
      </w:rPr>
      <w:t>13</w:t>
    </w:r>
    <w:r>
      <w:fldChar w:fldCharType="end"/>
    </w:r>
    <w: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Default="002D3A22" w:rsidP="0080742D">
    <w:pPr>
      <w:pStyle w:val="Footer"/>
      <w:jc w:val="center"/>
    </w:pPr>
    <w:r>
      <w:t>– </w:t>
    </w:r>
    <w:r>
      <w:fldChar w:fldCharType="begin"/>
    </w:r>
    <w:r>
      <w:instrText xml:space="preserve"> PAGE  \* Arabic  \* MERGEFORMAT </w:instrText>
    </w:r>
    <w:r>
      <w:fldChar w:fldCharType="separate"/>
    </w:r>
    <w:r w:rsidR="00704493">
      <w:rPr>
        <w:noProof/>
      </w:rPr>
      <w:t>1</w:t>
    </w:r>
    <w:r>
      <w:fldChar w:fldCharType="end"/>
    </w:r>
    <w:r>
      <w:t>/</w:t>
    </w:r>
    <w:r>
      <w:fldChar w:fldCharType="begin"/>
    </w:r>
    <w:r>
      <w:instrText xml:space="preserve"> PAGEREF  Beigas \# "0" \* Arabic  \* MERGEFORMAT </w:instrText>
    </w:r>
    <w:r>
      <w:fldChar w:fldCharType="separate"/>
    </w:r>
    <w:r w:rsidR="00704493">
      <w:rPr>
        <w:noProof/>
      </w:rPr>
      <w:t>13</w:t>
    </w:r>
    <w:r>
      <w:fldChar w:fldCharType="end"/>
    </w:r>
    <w:r>
      <w:t>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Pr="00D8228A" w:rsidRDefault="002D3A22" w:rsidP="00D8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74" w:rsidRDefault="00BA4974" w:rsidP="00784D39">
      <w:pPr>
        <w:spacing w:line="240" w:lineRule="auto"/>
      </w:pPr>
      <w:r>
        <w:separator/>
      </w:r>
    </w:p>
  </w:footnote>
  <w:footnote w:type="continuationSeparator" w:id="0">
    <w:p w:rsidR="00BA4974" w:rsidRDefault="00BA4974" w:rsidP="0078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Default="002D3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Default="002D3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Default="002D3A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22" w:rsidRDefault="002D3A22">
    <w:pPr>
      <w:pStyle w:val="Header"/>
    </w:pPr>
    <w:r w:rsidRPr="0080742D">
      <w:rPr>
        <w:b/>
        <w:caps/>
        <w:szCs w:val="24"/>
      </w:rPr>
      <w:t>Pielikums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EFE"/>
    <w:multiLevelType w:val="multilevel"/>
    <w:tmpl w:val="6914AE34"/>
    <w:lvl w:ilvl="0">
      <w:start w:val="23"/>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23C27BC6"/>
    <w:multiLevelType w:val="multilevel"/>
    <w:tmpl w:val="B90EBCA6"/>
    <w:lvl w:ilvl="0">
      <w:start w:val="1"/>
      <w:numFmt w:val="upperLetter"/>
      <w:pStyle w:val="Heading1"/>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suff w:val="space"/>
      <w:lvlText w:val="%2."/>
      <w:lvlJc w:val="left"/>
      <w:pPr>
        <w:ind w:left="0" w:firstLine="0"/>
      </w:pPr>
      <w:rPr>
        <w:rFonts w:hint="default"/>
      </w:rPr>
    </w:lvl>
    <w:lvl w:ilvl="2">
      <w:start w:val="1"/>
      <w:numFmt w:val="decimal"/>
      <w:pStyle w:val="NoSpacing"/>
      <w:suff w:val="space"/>
      <w:lvlText w:val="%2.%3."/>
      <w:lvlJc w:val="left"/>
      <w:pPr>
        <w:ind w:left="0" w:firstLine="0"/>
      </w:pPr>
      <w:rPr>
        <w:rFonts w:hint="default"/>
        <w:b/>
      </w:rPr>
    </w:lvl>
    <w:lvl w:ilvl="3">
      <w:start w:val="1"/>
      <w:numFmt w:val="decimal"/>
      <w:suff w:val="space"/>
      <w:lvlText w:val="%2.%3.%4."/>
      <w:lvlJc w:val="left"/>
      <w:pPr>
        <w:ind w:left="85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BF5CFF"/>
    <w:multiLevelType w:val="multilevel"/>
    <w:tmpl w:val="538CA566"/>
    <w:lvl w:ilvl="0">
      <w:start w:val="1"/>
      <w:numFmt w:val="upperLetter"/>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4545C37"/>
    <w:multiLevelType w:val="multilevel"/>
    <w:tmpl w:val="1C543128"/>
    <w:lvl w:ilvl="0">
      <w:start w:val="23"/>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1"/>
      <w:numFmt w:val="decimal"/>
      <w:lvlText w:val="%1.%2.%3."/>
      <w:lvlJc w:val="left"/>
      <w:pPr>
        <w:ind w:left="1535" w:hanging="825"/>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ED62AE9"/>
    <w:multiLevelType w:val="multilevel"/>
    <w:tmpl w:val="B1CA10A4"/>
    <w:lvl w:ilvl="0">
      <w:start w:val="23"/>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2"/>
  </w:num>
  <w:num w:numId="3">
    <w:abstractNumId w:val="1"/>
  </w:num>
  <w:num w:numId="4">
    <w:abstractNumId w:val="3"/>
  </w:num>
  <w:num w:numId="5">
    <w:abstractNumId w:val="0"/>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2D"/>
    <w:rsid w:val="00002BD8"/>
    <w:rsid w:val="0003567A"/>
    <w:rsid w:val="00040B8D"/>
    <w:rsid w:val="0004349D"/>
    <w:rsid w:val="00050F4A"/>
    <w:rsid w:val="00051B69"/>
    <w:rsid w:val="000568FB"/>
    <w:rsid w:val="00067D16"/>
    <w:rsid w:val="00091605"/>
    <w:rsid w:val="000A5C69"/>
    <w:rsid w:val="000B7101"/>
    <w:rsid w:val="00134B17"/>
    <w:rsid w:val="001438A7"/>
    <w:rsid w:val="00167EBC"/>
    <w:rsid w:val="001D11BC"/>
    <w:rsid w:val="001D3929"/>
    <w:rsid w:val="001E2156"/>
    <w:rsid w:val="001F081B"/>
    <w:rsid w:val="001F6AB2"/>
    <w:rsid w:val="00200EFA"/>
    <w:rsid w:val="0021531D"/>
    <w:rsid w:val="002216B0"/>
    <w:rsid w:val="002319A5"/>
    <w:rsid w:val="002445CE"/>
    <w:rsid w:val="00246CB3"/>
    <w:rsid w:val="0025188C"/>
    <w:rsid w:val="00281212"/>
    <w:rsid w:val="002A3D21"/>
    <w:rsid w:val="002C1479"/>
    <w:rsid w:val="002C5335"/>
    <w:rsid w:val="002D3A22"/>
    <w:rsid w:val="002E24BC"/>
    <w:rsid w:val="002F5956"/>
    <w:rsid w:val="00302BF6"/>
    <w:rsid w:val="00306F60"/>
    <w:rsid w:val="0031305A"/>
    <w:rsid w:val="0032751C"/>
    <w:rsid w:val="00367620"/>
    <w:rsid w:val="003678C2"/>
    <w:rsid w:val="00375CDE"/>
    <w:rsid w:val="00377635"/>
    <w:rsid w:val="00386336"/>
    <w:rsid w:val="0038648D"/>
    <w:rsid w:val="003B2035"/>
    <w:rsid w:val="003B489F"/>
    <w:rsid w:val="003D1383"/>
    <w:rsid w:val="003D55E9"/>
    <w:rsid w:val="003E4AF2"/>
    <w:rsid w:val="003E4D7E"/>
    <w:rsid w:val="003E703D"/>
    <w:rsid w:val="003F15CB"/>
    <w:rsid w:val="00407239"/>
    <w:rsid w:val="00413101"/>
    <w:rsid w:val="0041656E"/>
    <w:rsid w:val="00437AE9"/>
    <w:rsid w:val="004415E9"/>
    <w:rsid w:val="00444DC0"/>
    <w:rsid w:val="00447ECB"/>
    <w:rsid w:val="00462D07"/>
    <w:rsid w:val="0048089C"/>
    <w:rsid w:val="00484DCA"/>
    <w:rsid w:val="004A6181"/>
    <w:rsid w:val="004A651D"/>
    <w:rsid w:val="004C0766"/>
    <w:rsid w:val="004C3E35"/>
    <w:rsid w:val="004F4407"/>
    <w:rsid w:val="004F4518"/>
    <w:rsid w:val="00512FF5"/>
    <w:rsid w:val="00533E3A"/>
    <w:rsid w:val="0054743F"/>
    <w:rsid w:val="00550E60"/>
    <w:rsid w:val="00581D9D"/>
    <w:rsid w:val="00587ABA"/>
    <w:rsid w:val="005929E8"/>
    <w:rsid w:val="005B14D1"/>
    <w:rsid w:val="005C5AF8"/>
    <w:rsid w:val="005C6A6D"/>
    <w:rsid w:val="005F02E0"/>
    <w:rsid w:val="00622073"/>
    <w:rsid w:val="00627BE3"/>
    <w:rsid w:val="00627E2C"/>
    <w:rsid w:val="00637CB6"/>
    <w:rsid w:val="006641ED"/>
    <w:rsid w:val="006878EF"/>
    <w:rsid w:val="00687CAA"/>
    <w:rsid w:val="00696A1C"/>
    <w:rsid w:val="006A4D54"/>
    <w:rsid w:val="006A4D66"/>
    <w:rsid w:val="006C3487"/>
    <w:rsid w:val="006C38EB"/>
    <w:rsid w:val="006D2C2D"/>
    <w:rsid w:val="006D5C69"/>
    <w:rsid w:val="006F5270"/>
    <w:rsid w:val="0070013C"/>
    <w:rsid w:val="007003D0"/>
    <w:rsid w:val="00704493"/>
    <w:rsid w:val="00713854"/>
    <w:rsid w:val="0073208F"/>
    <w:rsid w:val="00752839"/>
    <w:rsid w:val="00761A6C"/>
    <w:rsid w:val="00761E97"/>
    <w:rsid w:val="00764CD4"/>
    <w:rsid w:val="007750FD"/>
    <w:rsid w:val="0078176A"/>
    <w:rsid w:val="0078290F"/>
    <w:rsid w:val="00784751"/>
    <w:rsid w:val="00784D39"/>
    <w:rsid w:val="007A5649"/>
    <w:rsid w:val="007E58BA"/>
    <w:rsid w:val="007F37C6"/>
    <w:rsid w:val="0080367B"/>
    <w:rsid w:val="0080742D"/>
    <w:rsid w:val="008116B6"/>
    <w:rsid w:val="00820467"/>
    <w:rsid w:val="00824D04"/>
    <w:rsid w:val="0084111D"/>
    <w:rsid w:val="00847F39"/>
    <w:rsid w:val="00851971"/>
    <w:rsid w:val="008649A9"/>
    <w:rsid w:val="00894878"/>
    <w:rsid w:val="008A0D61"/>
    <w:rsid w:val="008A637C"/>
    <w:rsid w:val="008B1734"/>
    <w:rsid w:val="008C424A"/>
    <w:rsid w:val="009046C5"/>
    <w:rsid w:val="00914599"/>
    <w:rsid w:val="009162FC"/>
    <w:rsid w:val="009460C5"/>
    <w:rsid w:val="009525B4"/>
    <w:rsid w:val="009543C8"/>
    <w:rsid w:val="009F1F25"/>
    <w:rsid w:val="009F3AB5"/>
    <w:rsid w:val="009F55B4"/>
    <w:rsid w:val="00A1315F"/>
    <w:rsid w:val="00A16443"/>
    <w:rsid w:val="00A20B44"/>
    <w:rsid w:val="00A37858"/>
    <w:rsid w:val="00A84CF9"/>
    <w:rsid w:val="00AB4359"/>
    <w:rsid w:val="00AB51C1"/>
    <w:rsid w:val="00AC660A"/>
    <w:rsid w:val="00B228C1"/>
    <w:rsid w:val="00B4287B"/>
    <w:rsid w:val="00B73FB2"/>
    <w:rsid w:val="00B764E1"/>
    <w:rsid w:val="00BA4974"/>
    <w:rsid w:val="00BB23E6"/>
    <w:rsid w:val="00BB3EF4"/>
    <w:rsid w:val="00BB509C"/>
    <w:rsid w:val="00BC3290"/>
    <w:rsid w:val="00BD64DC"/>
    <w:rsid w:val="00BF7F61"/>
    <w:rsid w:val="00C13A77"/>
    <w:rsid w:val="00C14919"/>
    <w:rsid w:val="00C21520"/>
    <w:rsid w:val="00C36BC6"/>
    <w:rsid w:val="00C412E5"/>
    <w:rsid w:val="00C52DB9"/>
    <w:rsid w:val="00C570E9"/>
    <w:rsid w:val="00C65994"/>
    <w:rsid w:val="00C778C1"/>
    <w:rsid w:val="00CA4A34"/>
    <w:rsid w:val="00CC0BBB"/>
    <w:rsid w:val="00CE2EBA"/>
    <w:rsid w:val="00CE36BE"/>
    <w:rsid w:val="00CF7182"/>
    <w:rsid w:val="00D06158"/>
    <w:rsid w:val="00D07189"/>
    <w:rsid w:val="00D1340D"/>
    <w:rsid w:val="00D14A22"/>
    <w:rsid w:val="00D35D2F"/>
    <w:rsid w:val="00D40A8E"/>
    <w:rsid w:val="00D812DB"/>
    <w:rsid w:val="00D8228A"/>
    <w:rsid w:val="00D87F24"/>
    <w:rsid w:val="00D90BB1"/>
    <w:rsid w:val="00DB78C7"/>
    <w:rsid w:val="00DC3564"/>
    <w:rsid w:val="00DC5BAE"/>
    <w:rsid w:val="00DE4DDB"/>
    <w:rsid w:val="00DF6804"/>
    <w:rsid w:val="00E3082D"/>
    <w:rsid w:val="00E61C89"/>
    <w:rsid w:val="00E83DFD"/>
    <w:rsid w:val="00E92D2C"/>
    <w:rsid w:val="00E96B0E"/>
    <w:rsid w:val="00EB0279"/>
    <w:rsid w:val="00EB5922"/>
    <w:rsid w:val="00EB7B15"/>
    <w:rsid w:val="00ED0E0A"/>
    <w:rsid w:val="00EE47D3"/>
    <w:rsid w:val="00EF6941"/>
    <w:rsid w:val="00F14D1B"/>
    <w:rsid w:val="00F32858"/>
    <w:rsid w:val="00F4379B"/>
    <w:rsid w:val="00F50801"/>
    <w:rsid w:val="00F74CAB"/>
    <w:rsid w:val="00F9327A"/>
    <w:rsid w:val="00F95998"/>
    <w:rsid w:val="00FC4F41"/>
    <w:rsid w:val="00FF094E"/>
    <w:rsid w:val="00FF4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6C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42D"/>
    <w:pPr>
      <w:spacing w:line="360" w:lineRule="auto"/>
    </w:pPr>
    <w:rPr>
      <w:rFonts w:ascii="Garamond" w:hAnsi="Garamond"/>
      <w:color w:val="000000"/>
      <w:sz w:val="24"/>
    </w:rPr>
  </w:style>
  <w:style w:type="paragraph" w:styleId="Heading1">
    <w:name w:val="heading 1"/>
    <w:basedOn w:val="Normal1"/>
    <w:next w:val="Normal1"/>
    <w:qFormat/>
    <w:rsid w:val="0080742D"/>
    <w:pPr>
      <w:keepNext/>
      <w:numPr>
        <w:numId w:val="3"/>
      </w:numPr>
      <w:spacing w:before="420" w:after="280" w:line="360" w:lineRule="auto"/>
      <w:jc w:val="center"/>
      <w:outlineLvl w:val="0"/>
    </w:pPr>
    <w:rPr>
      <w:rFonts w:ascii="Garamond" w:hAnsi="Garamond"/>
      <w:b/>
      <w:sz w:val="28"/>
    </w:rPr>
  </w:style>
  <w:style w:type="paragraph" w:styleId="Heading2">
    <w:name w:val="heading 2"/>
    <w:basedOn w:val="Normal1"/>
    <w:next w:val="Normal1"/>
    <w:qFormat/>
    <w:rsid w:val="00040B8D"/>
    <w:pPr>
      <w:keepNext/>
      <w:numPr>
        <w:ilvl w:val="1"/>
        <w:numId w:val="3"/>
      </w:numPr>
      <w:spacing w:before="240" w:line="360" w:lineRule="auto"/>
      <w:outlineLvl w:val="1"/>
    </w:pPr>
    <w:rPr>
      <w:rFonts w:ascii="Garamond" w:hAnsi="Garamond"/>
      <w:b/>
      <w:sz w:val="24"/>
    </w:rPr>
  </w:style>
  <w:style w:type="paragraph" w:styleId="Heading3">
    <w:name w:val="heading 3"/>
    <w:basedOn w:val="Normal1"/>
    <w:next w:val="Normal1"/>
    <w:rsid w:val="00E3082D"/>
    <w:pPr>
      <w:keepNext/>
      <w:keepLines/>
      <w:spacing w:before="280" w:after="80"/>
      <w:contextualSpacing/>
      <w:outlineLvl w:val="2"/>
    </w:pPr>
    <w:rPr>
      <w:b/>
      <w:sz w:val="28"/>
    </w:rPr>
  </w:style>
  <w:style w:type="paragraph" w:styleId="Heading4">
    <w:name w:val="heading 4"/>
    <w:basedOn w:val="Normal1"/>
    <w:next w:val="Normal1"/>
    <w:rsid w:val="00E3082D"/>
    <w:pPr>
      <w:keepNext/>
      <w:keepLines/>
      <w:spacing w:before="240" w:after="40"/>
      <w:contextualSpacing/>
      <w:outlineLvl w:val="3"/>
    </w:pPr>
    <w:rPr>
      <w:b/>
      <w:sz w:val="24"/>
    </w:rPr>
  </w:style>
  <w:style w:type="paragraph" w:styleId="Heading5">
    <w:name w:val="heading 5"/>
    <w:basedOn w:val="Normal1"/>
    <w:next w:val="Normal1"/>
    <w:qFormat/>
    <w:rsid w:val="00E3082D"/>
    <w:pPr>
      <w:keepNext/>
      <w:keepLines/>
      <w:spacing w:before="220" w:after="40"/>
      <w:contextualSpacing/>
      <w:outlineLvl w:val="4"/>
    </w:pPr>
    <w:rPr>
      <w:b/>
    </w:rPr>
  </w:style>
  <w:style w:type="paragraph" w:styleId="Heading6">
    <w:name w:val="heading 6"/>
    <w:basedOn w:val="Normal1"/>
    <w:next w:val="Normal1"/>
    <w:qFormat/>
    <w:rsid w:val="00E3082D"/>
    <w:pPr>
      <w:keepNext/>
      <w:keepLines/>
      <w:spacing w:before="200" w:after="40"/>
      <w:contextualSpacing/>
      <w:outlineLvl w:val="5"/>
    </w:pPr>
    <w:rPr>
      <w:b/>
      <w:sz w:val="20"/>
    </w:rPr>
  </w:style>
  <w:style w:type="paragraph" w:styleId="Heading7">
    <w:name w:val="heading 7"/>
    <w:basedOn w:val="Normal"/>
    <w:next w:val="Normal"/>
    <w:link w:val="Heading7Char"/>
    <w:qFormat/>
    <w:rsid w:val="00375CDE"/>
    <w:pPr>
      <w:tabs>
        <w:tab w:val="num" w:pos="4680"/>
      </w:tabs>
      <w:spacing w:before="240" w:after="60" w:line="240" w:lineRule="auto"/>
      <w:ind w:left="4320"/>
      <w:outlineLvl w:val="6"/>
    </w:pPr>
    <w:rPr>
      <w:rFonts w:ascii="Times New Roman" w:eastAsia="Times New Roman" w:hAnsi="Times New Roman" w:cs="Times New Roman"/>
      <w:color w:val="auto"/>
      <w:szCs w:val="24"/>
      <w:lang w:val="x-none" w:eastAsia="x-none"/>
    </w:rPr>
  </w:style>
  <w:style w:type="paragraph" w:styleId="Heading8">
    <w:name w:val="heading 8"/>
    <w:basedOn w:val="Normal"/>
    <w:next w:val="Normal"/>
    <w:link w:val="Heading8Char"/>
    <w:qFormat/>
    <w:rsid w:val="00375CDE"/>
    <w:pPr>
      <w:tabs>
        <w:tab w:val="num" w:pos="5400"/>
      </w:tabs>
      <w:spacing w:before="240" w:after="60" w:line="240" w:lineRule="auto"/>
      <w:ind w:left="5040"/>
      <w:outlineLvl w:val="7"/>
    </w:pPr>
    <w:rPr>
      <w:rFonts w:ascii="Times New Roman" w:eastAsia="Times New Roman" w:hAnsi="Times New Roman" w:cs="Times New Roman"/>
      <w:i/>
      <w:iCs/>
      <w:color w:val="auto"/>
      <w:szCs w:val="24"/>
      <w:lang w:val="x-none" w:eastAsia="x-none"/>
    </w:rPr>
  </w:style>
  <w:style w:type="paragraph" w:styleId="Heading9">
    <w:name w:val="heading 9"/>
    <w:basedOn w:val="Normal"/>
    <w:next w:val="Normal"/>
    <w:link w:val="Heading9Char"/>
    <w:qFormat/>
    <w:rsid w:val="00375CDE"/>
    <w:pPr>
      <w:tabs>
        <w:tab w:val="num" w:pos="6120"/>
      </w:tabs>
      <w:spacing w:before="240" w:after="60" w:line="240" w:lineRule="auto"/>
      <w:ind w:left="5760"/>
      <w:outlineLvl w:val="8"/>
    </w:pPr>
    <w:rPr>
      <w:rFonts w:ascii="Arial" w:eastAsia="Times New Roman" w:hAnsi="Arial" w:cs="Times New Roman"/>
      <w:color w:val="auto"/>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82D"/>
    <w:pPr>
      <w:spacing w:line="276" w:lineRule="auto"/>
    </w:pPr>
    <w:rPr>
      <w:color w:val="000000"/>
      <w:sz w:val="22"/>
    </w:rPr>
  </w:style>
  <w:style w:type="paragraph" w:styleId="Title">
    <w:name w:val="Title"/>
    <w:basedOn w:val="Normal1"/>
    <w:next w:val="Normal1"/>
    <w:rsid w:val="009F55B4"/>
    <w:pPr>
      <w:keepNext/>
      <w:keepLines/>
      <w:spacing w:before="520" w:line="360" w:lineRule="auto"/>
      <w:jc w:val="center"/>
    </w:pPr>
    <w:rPr>
      <w:rFonts w:ascii="Garamond" w:hAnsi="Garamond"/>
      <w:b/>
      <w:sz w:val="28"/>
    </w:rPr>
  </w:style>
  <w:style w:type="paragraph" w:styleId="Subtitle">
    <w:name w:val="Subtitle"/>
    <w:basedOn w:val="Normal1"/>
    <w:next w:val="Normal1"/>
    <w:rsid w:val="009F55B4"/>
    <w:pPr>
      <w:keepNext/>
      <w:keepLines/>
      <w:spacing w:after="520" w:line="360" w:lineRule="auto"/>
      <w:jc w:val="center"/>
    </w:pPr>
    <w:rPr>
      <w:rFonts w:ascii="Garamond" w:eastAsia="Georgia" w:hAnsi="Garamond" w:cs="Georgia"/>
      <w:b/>
      <w:color w:val="auto"/>
      <w:sz w:val="32"/>
    </w:rPr>
  </w:style>
  <w:style w:type="paragraph" w:styleId="BalloonText">
    <w:name w:val="Balloon Text"/>
    <w:basedOn w:val="Normal"/>
    <w:link w:val="BalloonTextChar"/>
    <w:uiPriority w:val="99"/>
    <w:semiHidden/>
    <w:unhideWhenUsed/>
    <w:rsid w:val="00784D39"/>
    <w:pPr>
      <w:spacing w:line="240" w:lineRule="auto"/>
    </w:pPr>
    <w:rPr>
      <w:rFonts w:ascii="Tahoma" w:hAnsi="Tahoma" w:cs="Times New Roman"/>
      <w:color w:val="auto"/>
      <w:sz w:val="16"/>
      <w:szCs w:val="16"/>
      <w:lang w:val="x-none" w:eastAsia="x-none"/>
    </w:rPr>
  </w:style>
  <w:style w:type="character" w:customStyle="1" w:styleId="BalloonTextChar">
    <w:name w:val="Balloon Text Char"/>
    <w:link w:val="BalloonText"/>
    <w:uiPriority w:val="99"/>
    <w:semiHidden/>
    <w:rsid w:val="00784D39"/>
    <w:rPr>
      <w:rFonts w:ascii="Tahoma" w:hAnsi="Tahoma" w:cs="Tahoma"/>
      <w:sz w:val="16"/>
      <w:szCs w:val="16"/>
    </w:rPr>
  </w:style>
  <w:style w:type="paragraph" w:styleId="Header">
    <w:name w:val="header"/>
    <w:basedOn w:val="Normal"/>
    <w:link w:val="HeaderChar"/>
    <w:uiPriority w:val="99"/>
    <w:unhideWhenUsed/>
    <w:rsid w:val="00784D39"/>
    <w:pPr>
      <w:tabs>
        <w:tab w:val="center" w:pos="4153"/>
        <w:tab w:val="right" w:pos="8306"/>
      </w:tabs>
      <w:spacing w:line="240" w:lineRule="auto"/>
    </w:pPr>
  </w:style>
  <w:style w:type="character" w:customStyle="1" w:styleId="HeaderChar">
    <w:name w:val="Header Char"/>
    <w:basedOn w:val="DefaultParagraphFont"/>
    <w:link w:val="Header"/>
    <w:uiPriority w:val="99"/>
    <w:rsid w:val="00784D39"/>
  </w:style>
  <w:style w:type="paragraph" w:styleId="Footer">
    <w:name w:val="footer"/>
    <w:basedOn w:val="Normal"/>
    <w:link w:val="FooterChar"/>
    <w:uiPriority w:val="99"/>
    <w:unhideWhenUsed/>
    <w:rsid w:val="00784D39"/>
    <w:pPr>
      <w:tabs>
        <w:tab w:val="center" w:pos="4153"/>
        <w:tab w:val="right" w:pos="8306"/>
      </w:tabs>
      <w:spacing w:line="240" w:lineRule="auto"/>
    </w:pPr>
  </w:style>
  <w:style w:type="character" w:customStyle="1" w:styleId="FooterChar">
    <w:name w:val="Footer Char"/>
    <w:basedOn w:val="DefaultParagraphFont"/>
    <w:link w:val="Footer"/>
    <w:uiPriority w:val="99"/>
    <w:rsid w:val="00784D39"/>
  </w:style>
  <w:style w:type="character" w:customStyle="1" w:styleId="Heading7Char">
    <w:name w:val="Heading 7 Char"/>
    <w:link w:val="Heading7"/>
    <w:rsid w:val="00375CDE"/>
    <w:rPr>
      <w:rFonts w:ascii="Times New Roman" w:eastAsia="Times New Roman" w:hAnsi="Times New Roman" w:cs="Times New Roman"/>
      <w:color w:val="auto"/>
      <w:sz w:val="24"/>
      <w:szCs w:val="24"/>
    </w:rPr>
  </w:style>
  <w:style w:type="character" w:customStyle="1" w:styleId="Heading8Char">
    <w:name w:val="Heading 8 Char"/>
    <w:link w:val="Heading8"/>
    <w:rsid w:val="00375CDE"/>
    <w:rPr>
      <w:rFonts w:ascii="Times New Roman" w:eastAsia="Times New Roman" w:hAnsi="Times New Roman" w:cs="Times New Roman"/>
      <w:i/>
      <w:iCs/>
      <w:color w:val="auto"/>
      <w:sz w:val="24"/>
      <w:szCs w:val="24"/>
    </w:rPr>
  </w:style>
  <w:style w:type="character" w:customStyle="1" w:styleId="Heading9Char">
    <w:name w:val="Heading 9 Char"/>
    <w:link w:val="Heading9"/>
    <w:rsid w:val="00375CDE"/>
    <w:rPr>
      <w:rFonts w:eastAsia="Times New Roman"/>
      <w:color w:val="auto"/>
      <w:szCs w:val="22"/>
    </w:rPr>
  </w:style>
  <w:style w:type="paragraph" w:styleId="BodyText">
    <w:name w:val="Body Text"/>
    <w:basedOn w:val="Normal"/>
    <w:link w:val="BodyTextChar"/>
    <w:rsid w:val="00375CDE"/>
    <w:pPr>
      <w:tabs>
        <w:tab w:val="num" w:pos="567"/>
      </w:tabs>
      <w:spacing w:after="120"/>
      <w:jc w:val="both"/>
    </w:pPr>
    <w:rPr>
      <w:rFonts w:eastAsia="Times New Roman" w:cs="Times New Roman"/>
      <w:color w:val="auto"/>
      <w:lang w:val="x-none" w:eastAsia="en-US"/>
    </w:rPr>
  </w:style>
  <w:style w:type="character" w:customStyle="1" w:styleId="BodyTextChar">
    <w:name w:val="Body Text Char"/>
    <w:link w:val="BodyText"/>
    <w:rsid w:val="00375CDE"/>
    <w:rPr>
      <w:rFonts w:ascii="Garamond" w:eastAsia="Times New Roman" w:hAnsi="Garamond" w:cs="Times New Roman"/>
      <w:color w:val="auto"/>
      <w:sz w:val="24"/>
      <w:lang w:eastAsia="en-US"/>
    </w:rPr>
  </w:style>
  <w:style w:type="paragraph" w:styleId="BodyText2">
    <w:name w:val="Body Text 2"/>
    <w:basedOn w:val="BodyText"/>
    <w:link w:val="BodyText2Char"/>
    <w:rsid w:val="00375CDE"/>
    <w:pPr>
      <w:tabs>
        <w:tab w:val="clear" w:pos="567"/>
        <w:tab w:val="num" w:pos="1304"/>
      </w:tabs>
      <w:ind w:left="1304" w:hanging="737"/>
      <w:contextualSpacing/>
    </w:pPr>
  </w:style>
  <w:style w:type="character" w:customStyle="1" w:styleId="BodyText2Char">
    <w:name w:val="Body Text 2 Char"/>
    <w:link w:val="BodyText2"/>
    <w:rsid w:val="00375CDE"/>
    <w:rPr>
      <w:rFonts w:ascii="Garamond" w:eastAsia="Times New Roman" w:hAnsi="Garamond" w:cs="Times New Roman"/>
      <w:color w:val="auto"/>
      <w:sz w:val="24"/>
      <w:lang w:eastAsia="en-US"/>
    </w:rPr>
  </w:style>
  <w:style w:type="paragraph" w:styleId="NoSpacing">
    <w:name w:val="No Spacing"/>
    <w:uiPriority w:val="1"/>
    <w:qFormat/>
    <w:rsid w:val="00407239"/>
    <w:pPr>
      <w:widowControl w:val="0"/>
      <w:numPr>
        <w:ilvl w:val="2"/>
        <w:numId w:val="3"/>
      </w:numPr>
      <w:spacing w:line="360" w:lineRule="auto"/>
      <w:jc w:val="both"/>
    </w:pPr>
    <w:rPr>
      <w:rFonts w:ascii="Garamond" w:hAnsi="Garamond"/>
      <w:color w:val="000000"/>
      <w:sz w:val="24"/>
    </w:rPr>
  </w:style>
  <w:style w:type="character" w:styleId="Hyperlink">
    <w:name w:val="Hyperlink"/>
    <w:uiPriority w:val="99"/>
    <w:unhideWhenUsed/>
    <w:rsid w:val="008649A9"/>
    <w:rPr>
      <w:color w:val="0000FF"/>
      <w:u w:val="single"/>
    </w:rPr>
  </w:style>
  <w:style w:type="character" w:customStyle="1" w:styleId="UnresolvedMention">
    <w:name w:val="Unresolved Mention"/>
    <w:uiPriority w:val="99"/>
    <w:semiHidden/>
    <w:unhideWhenUsed/>
    <w:rsid w:val="00533E3A"/>
    <w:rPr>
      <w:color w:val="605E5C"/>
      <w:shd w:val="clear" w:color="auto" w:fill="E1DFDD"/>
    </w:rPr>
  </w:style>
  <w:style w:type="character" w:styleId="CommentReference">
    <w:name w:val="annotation reference"/>
    <w:uiPriority w:val="99"/>
    <w:semiHidden/>
    <w:unhideWhenUsed/>
    <w:rsid w:val="00533E3A"/>
    <w:rPr>
      <w:sz w:val="16"/>
      <w:szCs w:val="16"/>
    </w:rPr>
  </w:style>
  <w:style w:type="paragraph" w:styleId="CommentText">
    <w:name w:val="annotation text"/>
    <w:basedOn w:val="Normal"/>
    <w:link w:val="CommentTextChar"/>
    <w:uiPriority w:val="99"/>
    <w:semiHidden/>
    <w:unhideWhenUsed/>
    <w:rsid w:val="00533E3A"/>
    <w:rPr>
      <w:sz w:val="20"/>
    </w:rPr>
  </w:style>
  <w:style w:type="character" w:customStyle="1" w:styleId="CommentTextChar">
    <w:name w:val="Comment Text Char"/>
    <w:link w:val="CommentText"/>
    <w:uiPriority w:val="99"/>
    <w:semiHidden/>
    <w:rsid w:val="00533E3A"/>
    <w:rPr>
      <w:rFonts w:ascii="Garamond" w:hAnsi="Garamond"/>
      <w:color w:val="000000"/>
      <w:lang w:val="lv-LV" w:eastAsia="lv-LV"/>
    </w:rPr>
  </w:style>
  <w:style w:type="paragraph" w:styleId="CommentSubject">
    <w:name w:val="annotation subject"/>
    <w:basedOn w:val="CommentText"/>
    <w:next w:val="CommentText"/>
    <w:link w:val="CommentSubjectChar"/>
    <w:uiPriority w:val="99"/>
    <w:semiHidden/>
    <w:unhideWhenUsed/>
    <w:rsid w:val="00533E3A"/>
    <w:rPr>
      <w:b/>
      <w:bCs/>
    </w:rPr>
  </w:style>
  <w:style w:type="character" w:customStyle="1" w:styleId="CommentSubjectChar">
    <w:name w:val="Comment Subject Char"/>
    <w:link w:val="CommentSubject"/>
    <w:uiPriority w:val="99"/>
    <w:semiHidden/>
    <w:rsid w:val="00533E3A"/>
    <w:rPr>
      <w:rFonts w:ascii="Garamond" w:hAnsi="Garamond"/>
      <w:b/>
      <w:bCs/>
      <w:color w:val="000000"/>
      <w:lang w:val="lv-LV" w:eastAsia="lv-LV"/>
    </w:rPr>
  </w:style>
  <w:style w:type="paragraph" w:styleId="Revision">
    <w:name w:val="Revision"/>
    <w:hidden/>
    <w:uiPriority w:val="99"/>
    <w:semiHidden/>
    <w:rsid w:val="00533E3A"/>
    <w:rPr>
      <w:rFonts w:ascii="Garamond" w:hAnsi="Garamond"/>
      <w:color w:val="000000"/>
      <w:sz w:val="24"/>
    </w:rPr>
  </w:style>
  <w:style w:type="character" w:styleId="FollowedHyperlink">
    <w:name w:val="FollowedHyperlink"/>
    <w:uiPriority w:val="99"/>
    <w:semiHidden/>
    <w:unhideWhenUsed/>
    <w:rsid w:val="006A4D54"/>
    <w:rPr>
      <w:color w:val="954F72"/>
      <w:u w:val="single"/>
    </w:rPr>
  </w:style>
  <w:style w:type="paragraph" w:styleId="ListParagraph">
    <w:name w:val="List Paragraph"/>
    <w:basedOn w:val="Normal"/>
    <w:uiPriority w:val="34"/>
    <w:qFormat/>
    <w:rsid w:val="00134B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6784">
      <w:bodyDiv w:val="1"/>
      <w:marLeft w:val="0"/>
      <w:marRight w:val="0"/>
      <w:marTop w:val="0"/>
      <w:marBottom w:val="0"/>
      <w:divBdr>
        <w:top w:val="none" w:sz="0" w:space="0" w:color="auto"/>
        <w:left w:val="none" w:sz="0" w:space="0" w:color="auto"/>
        <w:bottom w:val="none" w:sz="0" w:space="0" w:color="auto"/>
        <w:right w:val="none" w:sz="0" w:space="0" w:color="auto"/>
      </w:divBdr>
    </w:div>
    <w:div w:id="274144691">
      <w:bodyDiv w:val="1"/>
      <w:marLeft w:val="0"/>
      <w:marRight w:val="0"/>
      <w:marTop w:val="0"/>
      <w:marBottom w:val="0"/>
      <w:divBdr>
        <w:top w:val="none" w:sz="0" w:space="0" w:color="auto"/>
        <w:left w:val="none" w:sz="0" w:space="0" w:color="auto"/>
        <w:bottom w:val="none" w:sz="0" w:space="0" w:color="auto"/>
        <w:right w:val="none" w:sz="0" w:space="0" w:color="auto"/>
      </w:divBdr>
    </w:div>
    <w:div w:id="1144085425">
      <w:bodyDiv w:val="1"/>
      <w:marLeft w:val="0"/>
      <w:marRight w:val="0"/>
      <w:marTop w:val="0"/>
      <w:marBottom w:val="0"/>
      <w:divBdr>
        <w:top w:val="none" w:sz="0" w:space="0" w:color="auto"/>
        <w:left w:val="none" w:sz="0" w:space="0" w:color="auto"/>
        <w:bottom w:val="none" w:sz="0" w:space="0" w:color="auto"/>
        <w:right w:val="none" w:sz="0" w:space="0" w:color="auto"/>
      </w:divBdr>
    </w:div>
    <w:div w:id="1312372905">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sa.latvija@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istavards.lv/jv_atsauc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disleraizspel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isleraizspele.lv"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B5CB6-3E45-4ACD-B626-C1D4795F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16450</Words>
  <Characters>9377</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2019-09-30T11:55:00Z</dcterms:created>
  <dcterms:modified xsi:type="dcterms:W3CDTF">2019-09-30T11:55:00Z</dcterms:modified>
</cp:coreProperties>
</file>